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5536B" w:rsidR="004128AE" w:rsidP="00181B9A" w:rsidRDefault="004128AE" w14:paraId="682163F3" w14:textId="38181FF9">
      <w:pPr>
        <w:spacing w:line="360" w:lineRule="auto"/>
        <w:ind w:left="5670"/>
        <w:jc w:val="right"/>
        <w:rPr>
          <w:rFonts w:ascii="Verdana" w:hAnsi="Verdana" w:cs="Arial"/>
          <w:szCs w:val="20"/>
          <w:lang w:val="pl-PL"/>
        </w:rPr>
      </w:pPr>
      <w:r w:rsidRPr="0055536B">
        <w:rPr>
          <w:rFonts w:ascii="Verdana" w:hAnsi="Verdana" w:cs="Arial"/>
          <w:szCs w:val="20"/>
          <w:lang w:val="pl-PL"/>
        </w:rPr>
        <w:t xml:space="preserve">Fikołów, 15 września 2022 r. </w:t>
      </w:r>
    </w:p>
    <w:p w:rsidRPr="0055536B" w:rsidR="004128AE" w:rsidP="00181B9A" w:rsidRDefault="004128AE" w14:paraId="64043FFC" w14:textId="77777777">
      <w:pPr>
        <w:spacing w:line="360" w:lineRule="auto"/>
        <w:ind w:left="5670"/>
        <w:rPr>
          <w:rFonts w:ascii="Verdana" w:hAnsi="Verdana" w:cs="Arial"/>
          <w:szCs w:val="20"/>
          <w:lang w:val="pl-PL"/>
        </w:rPr>
      </w:pPr>
    </w:p>
    <w:p w:rsidRPr="0055536B" w:rsidR="004128AE" w:rsidP="00181B9A" w:rsidRDefault="004128AE" w14:paraId="1217972B" w14:textId="77777777">
      <w:pPr>
        <w:spacing w:line="360" w:lineRule="auto"/>
        <w:rPr>
          <w:rFonts w:ascii="Verdana" w:hAnsi="Verdana" w:cs="Arial"/>
          <w:b/>
          <w:szCs w:val="20"/>
          <w:lang w:val="pl-PL"/>
        </w:rPr>
      </w:pPr>
      <w:r w:rsidRPr="0055536B">
        <w:rPr>
          <w:rFonts w:ascii="Verdana" w:hAnsi="Verdana" w:cs="Arial"/>
          <w:b/>
          <w:szCs w:val="20"/>
          <w:lang w:val="pl-PL"/>
        </w:rPr>
        <w:t>Zamawiający</w:t>
      </w:r>
    </w:p>
    <w:p w:rsidRPr="0055536B" w:rsidR="004128AE" w:rsidP="00181B9A" w:rsidRDefault="004128AE" w14:paraId="2E0F0053" w14:textId="77777777">
      <w:pPr>
        <w:spacing w:line="360" w:lineRule="auto"/>
        <w:rPr>
          <w:rFonts w:ascii="Verdana" w:hAnsi="Verdana" w:cs="Arial"/>
          <w:szCs w:val="20"/>
          <w:lang w:val="pl-PL"/>
        </w:rPr>
      </w:pPr>
      <w:r w:rsidRPr="0055536B">
        <w:rPr>
          <w:rFonts w:ascii="Verdana" w:hAnsi="Verdana" w:cs="Arial"/>
          <w:szCs w:val="20"/>
          <w:lang w:val="pl-PL"/>
        </w:rPr>
        <w:t>Narodowa Instytucja Budowy Dróg</w:t>
      </w:r>
    </w:p>
    <w:p w:rsidRPr="0055536B" w:rsidR="004128AE" w:rsidP="00181B9A" w:rsidRDefault="004128AE" w14:paraId="108C305E" w14:textId="77777777">
      <w:pPr>
        <w:spacing w:line="360" w:lineRule="auto"/>
        <w:rPr>
          <w:rFonts w:ascii="Verdana" w:hAnsi="Verdana" w:cs="Arial"/>
          <w:szCs w:val="20"/>
          <w:lang w:val="pl-PL"/>
        </w:rPr>
      </w:pPr>
      <w:r w:rsidRPr="0055536B">
        <w:rPr>
          <w:rFonts w:ascii="Verdana" w:hAnsi="Verdana" w:cs="Arial"/>
          <w:szCs w:val="20"/>
          <w:lang w:val="pl-PL"/>
        </w:rPr>
        <w:t>Rejon w Fikołowie</w:t>
      </w:r>
    </w:p>
    <w:p w:rsidRPr="0055536B" w:rsidR="004128AE" w:rsidP="00181B9A" w:rsidRDefault="004128AE" w14:paraId="6D28532C" w14:textId="77777777">
      <w:pPr>
        <w:spacing w:line="360" w:lineRule="auto"/>
        <w:ind w:left="5670"/>
        <w:rPr>
          <w:rFonts w:ascii="Verdana" w:hAnsi="Verdana" w:cs="Arial"/>
          <w:szCs w:val="20"/>
          <w:lang w:val="pl-PL"/>
        </w:rPr>
      </w:pPr>
    </w:p>
    <w:p w:rsidRPr="0055536B" w:rsidR="004128AE" w:rsidP="00181B9A" w:rsidRDefault="004128AE" w14:paraId="3F0BB4B2" w14:textId="1522795D">
      <w:pPr>
        <w:spacing w:line="360" w:lineRule="auto"/>
        <w:ind w:left="5670"/>
        <w:rPr>
          <w:rFonts w:ascii="Verdana" w:hAnsi="Verdana" w:cs="Arial"/>
          <w:b/>
          <w:szCs w:val="20"/>
          <w:lang w:val="pl-PL"/>
        </w:rPr>
      </w:pPr>
      <w:r w:rsidRPr="0055536B">
        <w:rPr>
          <w:rFonts w:ascii="Verdana" w:hAnsi="Verdana" w:cs="Arial"/>
          <w:b/>
          <w:szCs w:val="20"/>
          <w:lang w:val="pl-PL"/>
        </w:rPr>
        <w:t>Wykonawcy ubiegający się o udzielenie zamówienia</w:t>
      </w:r>
    </w:p>
    <w:p w:rsidRPr="0055536B" w:rsidR="004128AE" w:rsidP="00181B9A" w:rsidRDefault="004128AE" w14:paraId="342E3D6E" w14:textId="77777777">
      <w:pPr>
        <w:spacing w:line="360" w:lineRule="auto"/>
        <w:ind w:left="5670"/>
        <w:rPr>
          <w:rFonts w:ascii="Verdana" w:hAnsi="Verdana" w:cs="Arial"/>
          <w:szCs w:val="20"/>
          <w:lang w:val="pl-PL"/>
        </w:rPr>
      </w:pPr>
    </w:p>
    <w:p w:rsidRPr="0055536B" w:rsidR="004128AE" w:rsidP="00181B9A" w:rsidRDefault="004128AE" w14:paraId="6CF774E8" w14:textId="4B71A8C6">
      <w:pPr>
        <w:spacing w:line="360" w:lineRule="auto"/>
        <w:ind w:left="993" w:hanging="993"/>
        <w:rPr>
          <w:rFonts w:ascii="Verdana" w:hAnsi="Verdana" w:cs="Arial"/>
          <w:szCs w:val="20"/>
          <w:lang w:val="pl-PL"/>
        </w:rPr>
      </w:pPr>
      <w:r w:rsidRPr="003F3F38">
        <w:rPr>
          <w:rFonts w:ascii="Verdana" w:hAnsi="Verdana" w:cs="Arial"/>
          <w:i/>
          <w:iCs/>
          <w:szCs w:val="20"/>
          <w:lang w:val="pl-PL"/>
        </w:rPr>
        <w:t>Dotyczy</w:t>
      </w:r>
      <w:r w:rsidRPr="0055536B">
        <w:rPr>
          <w:rFonts w:ascii="Verdana" w:hAnsi="Verdana" w:cs="Arial"/>
          <w:szCs w:val="20"/>
          <w:lang w:val="pl-PL"/>
        </w:rPr>
        <w:t xml:space="preserve">: postępowania o udzielenie zamówienia publicznego na Budowę drogi </w:t>
      </w:r>
      <w:r w:rsidR="0019276E">
        <w:rPr>
          <w:rFonts w:ascii="Verdana" w:hAnsi="Verdana" w:cs="Arial"/>
          <w:szCs w:val="20"/>
          <w:lang w:val="pl-PL"/>
        </w:rPr>
        <w:t xml:space="preserve">gminnej </w:t>
      </w:r>
      <w:r w:rsidRPr="0055536B">
        <w:rPr>
          <w:rFonts w:ascii="Verdana" w:hAnsi="Verdana" w:cs="Arial"/>
          <w:szCs w:val="20"/>
          <w:lang w:val="pl-PL"/>
        </w:rPr>
        <w:t>Gdziewrony Dolne – Berdyczów,  Nr ZP 69/2022 (dalej zwane Postępowaniem)</w:t>
      </w:r>
    </w:p>
    <w:p w:rsidRPr="0055536B" w:rsidR="004128AE" w:rsidP="00181B9A" w:rsidRDefault="004128AE" w14:paraId="39AF9BC6" w14:textId="20F7BF0B">
      <w:pPr>
        <w:spacing w:line="360" w:lineRule="auto"/>
        <w:ind w:left="993" w:hanging="993"/>
        <w:rPr>
          <w:rFonts w:ascii="Verdana" w:hAnsi="Verdana" w:cs="Arial"/>
          <w:szCs w:val="20"/>
          <w:lang w:val="pl-PL"/>
        </w:rPr>
      </w:pPr>
    </w:p>
    <w:p w:rsidRPr="0055536B" w:rsidR="004128AE" w:rsidP="00181B9A" w:rsidRDefault="004128AE" w14:paraId="5B68C0BE" w14:textId="59C11290">
      <w:pPr>
        <w:spacing w:line="360" w:lineRule="auto"/>
        <w:ind w:left="993" w:hanging="993"/>
        <w:rPr>
          <w:rFonts w:ascii="Verdana" w:hAnsi="Verdana" w:cs="Arial"/>
          <w:szCs w:val="20"/>
          <w:lang w:val="pl-PL"/>
        </w:rPr>
      </w:pPr>
    </w:p>
    <w:p w:rsidRPr="0055536B" w:rsidR="002F021A" w:rsidP="00181B9A" w:rsidRDefault="002F021A" w14:paraId="0850EA80" w14:textId="22273689">
      <w:pPr>
        <w:spacing w:line="360" w:lineRule="auto"/>
        <w:ind w:left="993" w:hanging="993"/>
        <w:jc w:val="center"/>
        <w:rPr>
          <w:rFonts w:ascii="Verdana" w:hAnsi="Verdana" w:cs="Arial"/>
          <w:b/>
          <w:bCs/>
          <w:szCs w:val="20"/>
          <w:lang w:val="pl-PL"/>
        </w:rPr>
      </w:pPr>
      <w:r w:rsidRPr="0055536B">
        <w:rPr>
          <w:rFonts w:ascii="Verdana" w:hAnsi="Verdana" w:cs="Arial"/>
          <w:b/>
          <w:bCs/>
          <w:szCs w:val="20"/>
          <w:lang w:val="pl-PL"/>
        </w:rPr>
        <w:t>INFORMACJA O WYBORZE NAJKORZYSTNIEJSZEJ OFERTY</w:t>
      </w:r>
    </w:p>
    <w:p w:rsidRPr="0055536B" w:rsidR="002F021A" w:rsidP="00181B9A" w:rsidRDefault="002F021A" w14:paraId="0E81BC73" w14:textId="5563E66F">
      <w:pPr>
        <w:spacing w:line="360" w:lineRule="auto"/>
        <w:ind w:left="993" w:hanging="993"/>
        <w:jc w:val="center"/>
        <w:rPr>
          <w:rFonts w:ascii="Verdana" w:hAnsi="Verdana" w:cs="Arial"/>
          <w:b/>
          <w:bCs/>
          <w:szCs w:val="20"/>
          <w:lang w:val="pl-PL"/>
        </w:rPr>
      </w:pPr>
      <w:r w:rsidRPr="0055536B">
        <w:rPr>
          <w:rFonts w:ascii="Verdana" w:hAnsi="Verdana" w:cs="Arial"/>
          <w:b/>
          <w:bCs/>
          <w:szCs w:val="20"/>
          <w:lang w:val="pl-PL"/>
        </w:rPr>
        <w:t>ORAZ</w:t>
      </w:r>
    </w:p>
    <w:p w:rsidRPr="0055536B" w:rsidR="002F021A" w:rsidP="00181B9A" w:rsidRDefault="002F021A" w14:paraId="5EF1F2C2" w14:textId="2340F849">
      <w:pPr>
        <w:spacing w:line="360" w:lineRule="auto"/>
        <w:ind w:left="993" w:hanging="993"/>
        <w:jc w:val="center"/>
        <w:rPr>
          <w:rFonts w:ascii="Verdana" w:hAnsi="Verdana" w:cs="Arial"/>
          <w:b/>
          <w:bCs/>
          <w:szCs w:val="20"/>
          <w:lang w:val="pl-PL"/>
        </w:rPr>
      </w:pPr>
      <w:r w:rsidRPr="0055536B">
        <w:rPr>
          <w:rFonts w:ascii="Verdana" w:hAnsi="Verdana" w:cs="Arial"/>
          <w:b/>
          <w:bCs/>
          <w:szCs w:val="20"/>
          <w:lang w:val="pl-PL"/>
        </w:rPr>
        <w:t>ODRZUCENIU OFERTY</w:t>
      </w:r>
    </w:p>
    <w:p w:rsidRPr="0055536B" w:rsidR="00F43025" w:rsidP="00181B9A" w:rsidRDefault="00F43025" w14:paraId="5A29D476" w14:textId="748C00CB">
      <w:pPr>
        <w:spacing w:line="360" w:lineRule="auto"/>
        <w:rPr>
          <w:rFonts w:ascii="Verdana" w:hAnsi="Verdana"/>
          <w:szCs w:val="20"/>
          <w:lang w:val="pl-PL"/>
        </w:rPr>
      </w:pPr>
    </w:p>
    <w:p w:rsidRPr="0055536B" w:rsidR="002F021A" w:rsidP="00181B9A" w:rsidRDefault="002F021A" w14:paraId="3A076F19" w14:textId="1ABCC1C1">
      <w:pPr>
        <w:spacing w:line="360" w:lineRule="auto"/>
        <w:rPr>
          <w:rFonts w:ascii="Verdana" w:hAnsi="Verdana"/>
          <w:szCs w:val="20"/>
          <w:lang w:val="pl-PL"/>
        </w:rPr>
      </w:pPr>
    </w:p>
    <w:p w:rsidR="002F021A" w:rsidP="00181B9A" w:rsidRDefault="002F021A" w14:paraId="5661DAC9" w14:textId="4C24A3E7">
      <w:pPr>
        <w:spacing w:line="360" w:lineRule="auto"/>
        <w:rPr>
          <w:rFonts w:ascii="Verdana" w:hAnsi="Verdana" w:cs="Arial"/>
          <w:szCs w:val="20"/>
          <w:lang w:val="pl-PL"/>
        </w:rPr>
      </w:pPr>
      <w:r w:rsidRPr="0055536B">
        <w:rPr>
          <w:rFonts w:ascii="Verdana" w:hAnsi="Verdana"/>
          <w:szCs w:val="20"/>
          <w:lang w:val="pl-PL"/>
        </w:rPr>
        <w:t>Zamawiający, działając w oparciu o art. 253</w:t>
      </w:r>
      <w:r w:rsidRPr="0055536B" w:rsidR="0055536B">
        <w:rPr>
          <w:rFonts w:ascii="Verdana" w:hAnsi="Verdana"/>
          <w:szCs w:val="20"/>
          <w:lang w:val="pl-PL"/>
        </w:rPr>
        <w:t xml:space="preserve"> ustawy z dnia 11 września 2019 r. Prawo zamówień publicznych (zwane dalej PZP)</w:t>
      </w:r>
      <w:r w:rsidR="0055536B">
        <w:rPr>
          <w:rFonts w:ascii="Verdana" w:hAnsi="Verdana"/>
          <w:szCs w:val="20"/>
          <w:lang w:val="pl-PL"/>
        </w:rPr>
        <w:t xml:space="preserve"> informuje, że w ramach postępowania pn. „</w:t>
      </w:r>
      <w:r w:rsidRPr="00937E01" w:rsidR="0055536B">
        <w:rPr>
          <w:rFonts w:ascii="Verdana" w:hAnsi="Verdana" w:cs="Arial"/>
          <w:i/>
          <w:iCs/>
          <w:szCs w:val="20"/>
          <w:lang w:val="pl-PL"/>
        </w:rPr>
        <w:t xml:space="preserve">Budowa drogi </w:t>
      </w:r>
      <w:r w:rsidR="0019276E">
        <w:rPr>
          <w:rFonts w:ascii="Verdana" w:hAnsi="Verdana" w:cs="Arial"/>
          <w:i/>
          <w:iCs/>
          <w:szCs w:val="20"/>
          <w:lang w:val="pl-PL"/>
        </w:rPr>
        <w:t xml:space="preserve">gminnej </w:t>
      </w:r>
      <w:r w:rsidRPr="00937E01" w:rsidR="0055536B">
        <w:rPr>
          <w:rFonts w:ascii="Verdana" w:hAnsi="Verdana" w:cs="Arial"/>
          <w:i/>
          <w:iCs/>
          <w:szCs w:val="20"/>
          <w:lang w:val="pl-PL"/>
        </w:rPr>
        <w:t>Gdziewrony Dolne – Berdyczów</w:t>
      </w:r>
      <w:r w:rsidRPr="0055536B" w:rsidR="0055536B">
        <w:rPr>
          <w:rFonts w:ascii="Verdana" w:hAnsi="Verdana" w:cs="Arial"/>
          <w:szCs w:val="20"/>
          <w:lang w:val="pl-PL"/>
        </w:rPr>
        <w:t>”</w:t>
      </w:r>
      <w:r w:rsidR="00701756">
        <w:rPr>
          <w:rFonts w:ascii="Verdana" w:hAnsi="Verdana" w:cs="Arial"/>
          <w:szCs w:val="20"/>
          <w:lang w:val="pl-PL"/>
        </w:rPr>
        <w:t xml:space="preserve"> (n</w:t>
      </w:r>
      <w:r w:rsidRPr="0055536B" w:rsidR="0055536B">
        <w:rPr>
          <w:rFonts w:ascii="Verdana" w:hAnsi="Verdana" w:cs="Arial"/>
          <w:szCs w:val="20"/>
          <w:lang w:val="pl-PL"/>
        </w:rPr>
        <w:t>r ZP 69/2022</w:t>
      </w:r>
      <w:r w:rsidR="00701756">
        <w:rPr>
          <w:rFonts w:ascii="Verdana" w:hAnsi="Verdana" w:cs="Arial"/>
          <w:szCs w:val="20"/>
          <w:lang w:val="pl-PL"/>
        </w:rPr>
        <w:t xml:space="preserve">) </w:t>
      </w:r>
      <w:r w:rsidRPr="00EB574F" w:rsidR="00701756">
        <w:rPr>
          <w:rFonts w:ascii="Verdana" w:hAnsi="Verdana" w:cs="Arial"/>
          <w:b/>
          <w:bCs/>
          <w:szCs w:val="20"/>
          <w:lang w:val="pl-PL"/>
        </w:rPr>
        <w:t xml:space="preserve">za najkorzystniejszą uznana została oferta wykonawcy </w:t>
      </w:r>
      <w:r w:rsidRPr="00EB574F" w:rsidR="00EB574F">
        <w:rPr>
          <w:rFonts w:ascii="Verdana" w:hAnsi="Verdana" w:cs="Arial"/>
          <w:b/>
          <w:bCs/>
          <w:szCs w:val="20"/>
          <w:lang w:val="pl-PL"/>
        </w:rPr>
        <w:t>Dobra Firma sp. z o.o. z siedzibą w Ustrzykach Górnych</w:t>
      </w:r>
      <w:r w:rsidR="000F2846">
        <w:rPr>
          <w:rFonts w:ascii="Verdana" w:hAnsi="Verdana" w:cs="Arial"/>
          <w:szCs w:val="20"/>
          <w:lang w:val="pl-PL"/>
        </w:rPr>
        <w:t xml:space="preserve"> (oferta uzyskała 100 punktów).</w:t>
      </w:r>
    </w:p>
    <w:p w:rsidR="00EB574F" w:rsidP="00181B9A" w:rsidRDefault="00EB574F" w14:paraId="3E698FAF" w14:textId="72B9FD58">
      <w:pPr>
        <w:spacing w:line="360" w:lineRule="auto"/>
        <w:rPr>
          <w:rFonts w:ascii="Verdana" w:hAnsi="Verdana"/>
          <w:szCs w:val="20"/>
          <w:lang w:val="pl-PL"/>
        </w:rPr>
      </w:pPr>
    </w:p>
    <w:p w:rsidR="00EB574F" w:rsidP="00181B9A" w:rsidRDefault="00EB574F" w14:paraId="643911D4" w14:textId="17EBE939">
      <w:pPr>
        <w:spacing w:line="360" w:lineRule="auto"/>
        <w:rPr>
          <w:rFonts w:ascii="Verdana" w:hAnsi="Verdana"/>
          <w:szCs w:val="20"/>
          <w:lang w:val="pl-PL"/>
        </w:rPr>
      </w:pPr>
      <w:r>
        <w:rPr>
          <w:rFonts w:ascii="Verdana" w:hAnsi="Verdana"/>
          <w:szCs w:val="20"/>
          <w:lang w:val="pl-PL"/>
        </w:rPr>
        <w:t xml:space="preserve">Zamawiający przedstawia </w:t>
      </w:r>
      <w:r w:rsidR="00E36474">
        <w:rPr>
          <w:rFonts w:ascii="Verdana" w:hAnsi="Verdana"/>
          <w:szCs w:val="20"/>
          <w:lang w:val="pl-PL"/>
        </w:rPr>
        <w:t>zestawienie ofert złożonych w Postępowaniu wraz z przyznaną punktacją:</w:t>
      </w:r>
    </w:p>
    <w:p w:rsidR="00E36474" w:rsidP="00181B9A" w:rsidRDefault="00E36474" w14:paraId="505EEDF9" w14:textId="64DC411F">
      <w:pPr>
        <w:spacing w:line="360" w:lineRule="auto"/>
        <w:rPr>
          <w:rFonts w:ascii="Verdana" w:hAnsi="Verdana"/>
          <w:szCs w:val="20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21"/>
        <w:gridCol w:w="2219"/>
        <w:gridCol w:w="2555"/>
        <w:gridCol w:w="1867"/>
      </w:tblGrid>
      <w:tr w:rsidRPr="00134ED6" w:rsidR="00937E01" w:rsidTr="00937E01" w14:paraId="1A009F72" w14:textId="3C49D3BF">
        <w:tc>
          <w:tcPr>
            <w:tcW w:w="2421" w:type="dxa"/>
          </w:tcPr>
          <w:p w:rsidRPr="00872E08" w:rsidR="00937E01" w:rsidP="00181B9A" w:rsidRDefault="00937E01" w14:paraId="4D45E6F4" w14:textId="78631388">
            <w:pPr>
              <w:spacing w:line="360" w:lineRule="auto"/>
              <w:jc w:val="center"/>
              <w:rPr>
                <w:rFonts w:ascii="Verdana" w:hAnsi="Verdana"/>
                <w:b/>
                <w:bCs/>
                <w:szCs w:val="20"/>
                <w:lang w:val="pl-PL"/>
              </w:rPr>
            </w:pPr>
            <w:r w:rsidRPr="00872E08">
              <w:rPr>
                <w:rFonts w:ascii="Verdana" w:hAnsi="Verdana"/>
                <w:b/>
                <w:bCs/>
                <w:szCs w:val="20"/>
                <w:lang w:val="pl-PL"/>
              </w:rPr>
              <w:t>Wykonawca</w:t>
            </w:r>
          </w:p>
        </w:tc>
        <w:tc>
          <w:tcPr>
            <w:tcW w:w="2219" w:type="dxa"/>
          </w:tcPr>
          <w:p w:rsidRPr="00872E08" w:rsidR="00937E01" w:rsidP="00181B9A" w:rsidRDefault="00937E01" w14:paraId="0DBA0AFE" w14:textId="578F8903">
            <w:pPr>
              <w:spacing w:line="360" w:lineRule="auto"/>
              <w:jc w:val="center"/>
              <w:rPr>
                <w:rFonts w:ascii="Verdana" w:hAnsi="Verdana"/>
                <w:b/>
                <w:bCs/>
                <w:szCs w:val="20"/>
                <w:lang w:val="pl-PL"/>
              </w:rPr>
            </w:pPr>
            <w:r w:rsidRPr="00872E08">
              <w:rPr>
                <w:rFonts w:ascii="Verdana" w:hAnsi="Verdana"/>
                <w:b/>
                <w:bCs/>
                <w:szCs w:val="20"/>
                <w:lang w:val="pl-PL"/>
              </w:rPr>
              <w:t>Cena</w:t>
            </w:r>
          </w:p>
        </w:tc>
        <w:tc>
          <w:tcPr>
            <w:tcW w:w="2555" w:type="dxa"/>
          </w:tcPr>
          <w:p w:rsidRPr="00872E08" w:rsidR="00937E01" w:rsidP="00181B9A" w:rsidRDefault="00937E01" w14:paraId="3544586A" w14:textId="54B543A3">
            <w:pPr>
              <w:spacing w:line="360" w:lineRule="auto"/>
              <w:jc w:val="center"/>
              <w:rPr>
                <w:rFonts w:ascii="Verdana" w:hAnsi="Verdana"/>
                <w:b/>
                <w:bCs/>
                <w:szCs w:val="20"/>
                <w:lang w:val="pl-PL"/>
              </w:rPr>
            </w:pPr>
            <w:r w:rsidRPr="00872E08">
              <w:rPr>
                <w:rFonts w:ascii="Verdana" w:hAnsi="Verdana"/>
                <w:b/>
                <w:bCs/>
                <w:szCs w:val="20"/>
                <w:lang w:val="pl-PL"/>
              </w:rPr>
              <w:t>Doświadczenie osoby na stanowisko Kierownika budowy</w:t>
            </w:r>
          </w:p>
        </w:tc>
        <w:tc>
          <w:tcPr>
            <w:tcW w:w="1867" w:type="dxa"/>
          </w:tcPr>
          <w:p w:rsidRPr="00872E08" w:rsidR="00937E01" w:rsidP="00181B9A" w:rsidRDefault="00937E01" w14:paraId="774D1176" w14:textId="4A920847">
            <w:pPr>
              <w:spacing w:line="360" w:lineRule="auto"/>
              <w:jc w:val="center"/>
              <w:rPr>
                <w:rFonts w:ascii="Verdana" w:hAnsi="Verdana"/>
                <w:b/>
                <w:bCs/>
                <w:szCs w:val="20"/>
                <w:lang w:val="pl-PL"/>
              </w:rPr>
            </w:pPr>
            <w:r>
              <w:rPr>
                <w:rFonts w:ascii="Verdana" w:hAnsi="Verdana"/>
                <w:b/>
                <w:bCs/>
                <w:szCs w:val="20"/>
                <w:lang w:val="pl-PL"/>
              </w:rPr>
              <w:t xml:space="preserve">Suma </w:t>
            </w:r>
          </w:p>
        </w:tc>
      </w:tr>
      <w:tr w:rsidR="00937E01" w:rsidTr="00937E01" w14:paraId="79CCA268" w14:textId="62A3DC38">
        <w:tc>
          <w:tcPr>
            <w:tcW w:w="2421" w:type="dxa"/>
          </w:tcPr>
          <w:p w:rsidR="00937E01" w:rsidP="00181B9A" w:rsidRDefault="00937E01" w14:paraId="63C041D5" w14:textId="77777777">
            <w:pPr>
              <w:spacing w:line="360" w:lineRule="auto"/>
              <w:rPr>
                <w:rFonts w:ascii="Verdana" w:hAnsi="Verdana"/>
                <w:szCs w:val="20"/>
                <w:lang w:val="pl-PL"/>
              </w:rPr>
            </w:pPr>
          </w:p>
          <w:p w:rsidR="00937E01" w:rsidP="00181B9A" w:rsidRDefault="00937E01" w14:paraId="111B6D72" w14:textId="64426F9A">
            <w:pPr>
              <w:spacing w:line="360" w:lineRule="auto"/>
              <w:rPr>
                <w:rFonts w:ascii="Verdana" w:hAnsi="Verdana"/>
                <w:szCs w:val="20"/>
                <w:lang w:val="pl-PL"/>
              </w:rPr>
            </w:pPr>
            <w:r>
              <w:rPr>
                <w:rFonts w:ascii="Verdana" w:hAnsi="Verdana"/>
                <w:szCs w:val="20"/>
                <w:lang w:val="pl-PL"/>
              </w:rPr>
              <w:t>Dobra Firma sp. z o.o.</w:t>
            </w:r>
          </w:p>
          <w:p w:rsidR="00937E01" w:rsidP="00181B9A" w:rsidRDefault="00937E01" w14:paraId="24F19016" w14:textId="517F0624">
            <w:pPr>
              <w:spacing w:line="360" w:lineRule="auto"/>
              <w:rPr>
                <w:rFonts w:ascii="Verdana" w:hAnsi="Verdana"/>
                <w:szCs w:val="20"/>
                <w:lang w:val="pl-PL"/>
              </w:rPr>
            </w:pPr>
          </w:p>
        </w:tc>
        <w:tc>
          <w:tcPr>
            <w:tcW w:w="2219" w:type="dxa"/>
          </w:tcPr>
          <w:p w:rsidR="00937E01" w:rsidP="00181B9A" w:rsidRDefault="00937E01" w14:paraId="4BD81859" w14:textId="77777777">
            <w:pPr>
              <w:spacing w:line="360" w:lineRule="auto"/>
              <w:rPr>
                <w:rFonts w:ascii="Verdana" w:hAnsi="Verdana"/>
                <w:szCs w:val="20"/>
                <w:lang w:val="pl-PL"/>
              </w:rPr>
            </w:pPr>
          </w:p>
          <w:p w:rsidR="00937E01" w:rsidP="00181B9A" w:rsidRDefault="00937E01" w14:paraId="62317442" w14:textId="1AA87689">
            <w:pPr>
              <w:spacing w:line="360" w:lineRule="auto"/>
              <w:rPr>
                <w:rFonts w:ascii="Verdana" w:hAnsi="Verdana"/>
                <w:szCs w:val="20"/>
                <w:lang w:val="pl-PL"/>
              </w:rPr>
            </w:pPr>
            <w:r>
              <w:rPr>
                <w:rFonts w:ascii="Verdana" w:hAnsi="Verdana"/>
                <w:szCs w:val="20"/>
                <w:lang w:val="pl-PL"/>
              </w:rPr>
              <w:t>80 punktów</w:t>
            </w:r>
          </w:p>
        </w:tc>
        <w:tc>
          <w:tcPr>
            <w:tcW w:w="2555" w:type="dxa"/>
          </w:tcPr>
          <w:p w:rsidR="00937E01" w:rsidP="00181B9A" w:rsidRDefault="00937E01" w14:paraId="54E6326D" w14:textId="77777777">
            <w:pPr>
              <w:spacing w:line="360" w:lineRule="auto"/>
              <w:rPr>
                <w:rFonts w:ascii="Verdana" w:hAnsi="Verdana"/>
                <w:szCs w:val="20"/>
                <w:lang w:val="pl-PL"/>
              </w:rPr>
            </w:pPr>
          </w:p>
          <w:p w:rsidR="00937E01" w:rsidP="00181B9A" w:rsidRDefault="00937E01" w14:paraId="1E45E0C5" w14:textId="0BAF0883">
            <w:pPr>
              <w:spacing w:line="360" w:lineRule="auto"/>
              <w:rPr>
                <w:rFonts w:ascii="Verdana" w:hAnsi="Verdana"/>
                <w:szCs w:val="20"/>
                <w:lang w:val="pl-PL"/>
              </w:rPr>
            </w:pPr>
            <w:r>
              <w:rPr>
                <w:rFonts w:ascii="Verdana" w:hAnsi="Verdana"/>
                <w:szCs w:val="20"/>
                <w:lang w:val="pl-PL"/>
              </w:rPr>
              <w:t>20 punktów</w:t>
            </w:r>
          </w:p>
        </w:tc>
        <w:tc>
          <w:tcPr>
            <w:tcW w:w="1867" w:type="dxa"/>
          </w:tcPr>
          <w:p w:rsidR="00937E01" w:rsidP="00181B9A" w:rsidRDefault="00937E01" w14:paraId="6D37AAB5" w14:textId="77777777">
            <w:pPr>
              <w:spacing w:line="360" w:lineRule="auto"/>
              <w:rPr>
                <w:rFonts w:ascii="Verdana" w:hAnsi="Verdana"/>
                <w:szCs w:val="20"/>
                <w:lang w:val="pl-PL"/>
              </w:rPr>
            </w:pPr>
          </w:p>
          <w:p w:rsidR="00937E01" w:rsidP="00181B9A" w:rsidRDefault="00937E01" w14:paraId="43443007" w14:textId="4F8B6D59">
            <w:pPr>
              <w:spacing w:line="360" w:lineRule="auto"/>
              <w:rPr>
                <w:rFonts w:ascii="Verdana" w:hAnsi="Verdana"/>
                <w:szCs w:val="20"/>
                <w:lang w:val="pl-PL"/>
              </w:rPr>
            </w:pPr>
            <w:r>
              <w:rPr>
                <w:rFonts w:ascii="Verdana" w:hAnsi="Verdana"/>
                <w:szCs w:val="20"/>
                <w:lang w:val="pl-PL"/>
              </w:rPr>
              <w:t>100 punktów</w:t>
            </w:r>
          </w:p>
        </w:tc>
      </w:tr>
      <w:tr w:rsidR="00937E01" w:rsidTr="00A11524" w14:paraId="3BA040B2" w14:textId="29F354A9">
        <w:tc>
          <w:tcPr>
            <w:tcW w:w="2421" w:type="dxa"/>
          </w:tcPr>
          <w:p w:rsidR="00937E01" w:rsidP="00181B9A" w:rsidRDefault="00937E01" w14:paraId="626C9A28" w14:textId="77777777">
            <w:pPr>
              <w:spacing w:line="360" w:lineRule="auto"/>
              <w:rPr>
                <w:rFonts w:ascii="Verdana" w:hAnsi="Verdana"/>
                <w:szCs w:val="20"/>
                <w:lang w:val="pl-PL"/>
              </w:rPr>
            </w:pPr>
          </w:p>
          <w:p w:rsidR="00937E01" w:rsidP="00181B9A" w:rsidRDefault="00937E01" w14:paraId="1CC5D8F7" w14:textId="77777777">
            <w:pPr>
              <w:spacing w:line="360" w:lineRule="auto"/>
              <w:rPr>
                <w:rFonts w:ascii="Verdana" w:hAnsi="Verdana"/>
                <w:szCs w:val="20"/>
                <w:lang w:val="pl-PL"/>
              </w:rPr>
            </w:pPr>
            <w:r>
              <w:rPr>
                <w:rFonts w:ascii="Verdana" w:hAnsi="Verdana"/>
                <w:szCs w:val="20"/>
                <w:lang w:val="pl-PL"/>
              </w:rPr>
              <w:t>Bystrzak sp. z o.o.</w:t>
            </w:r>
          </w:p>
          <w:p w:rsidR="00937E01" w:rsidP="00181B9A" w:rsidRDefault="00937E01" w14:paraId="3A7F5C81" w14:textId="7B62EA5D">
            <w:pPr>
              <w:spacing w:line="360" w:lineRule="auto"/>
              <w:rPr>
                <w:rFonts w:ascii="Verdana" w:hAnsi="Verdana"/>
                <w:szCs w:val="20"/>
                <w:lang w:val="pl-PL"/>
              </w:rPr>
            </w:pPr>
          </w:p>
        </w:tc>
        <w:tc>
          <w:tcPr>
            <w:tcW w:w="6641" w:type="dxa"/>
            <w:gridSpan w:val="3"/>
          </w:tcPr>
          <w:p w:rsidR="00937E01" w:rsidP="00181B9A" w:rsidRDefault="00937E01" w14:paraId="7C141F7C" w14:textId="77777777">
            <w:pPr>
              <w:spacing w:line="360" w:lineRule="auto"/>
              <w:jc w:val="center"/>
              <w:rPr>
                <w:rFonts w:ascii="Verdana" w:hAnsi="Verdana"/>
                <w:szCs w:val="20"/>
                <w:lang w:val="pl-PL"/>
              </w:rPr>
            </w:pPr>
          </w:p>
          <w:p w:rsidR="00937E01" w:rsidP="00181B9A" w:rsidRDefault="00937E01" w14:paraId="7703A23F" w14:textId="2B08CA04">
            <w:pPr>
              <w:spacing w:line="360" w:lineRule="auto"/>
              <w:jc w:val="center"/>
              <w:rPr>
                <w:rFonts w:ascii="Verdana" w:hAnsi="Verdana"/>
                <w:szCs w:val="20"/>
                <w:lang w:val="pl-PL"/>
              </w:rPr>
            </w:pPr>
            <w:r>
              <w:rPr>
                <w:rFonts w:ascii="Verdana" w:hAnsi="Verdana"/>
                <w:szCs w:val="20"/>
                <w:lang w:val="pl-PL"/>
              </w:rPr>
              <w:t>oferta odrzucona</w:t>
            </w:r>
          </w:p>
        </w:tc>
      </w:tr>
    </w:tbl>
    <w:p w:rsidR="00E36474" w:rsidP="00181B9A" w:rsidRDefault="00E36474" w14:paraId="70BB3007" w14:textId="790126F5">
      <w:pPr>
        <w:spacing w:line="360" w:lineRule="auto"/>
        <w:rPr>
          <w:rFonts w:ascii="Verdana" w:hAnsi="Verdana"/>
          <w:szCs w:val="20"/>
          <w:lang w:val="pl-PL"/>
        </w:rPr>
      </w:pPr>
    </w:p>
    <w:p w:rsidR="00F32BC5" w:rsidP="00181B9A" w:rsidRDefault="00247D66" w14:paraId="04A73666" w14:textId="77777777">
      <w:pPr>
        <w:spacing w:line="360" w:lineRule="auto"/>
        <w:rPr>
          <w:rFonts w:ascii="Verdana" w:hAnsi="Verdana"/>
          <w:szCs w:val="20"/>
          <w:lang w:val="pl-PL"/>
        </w:rPr>
      </w:pPr>
      <w:r>
        <w:rPr>
          <w:rFonts w:ascii="Verdana" w:hAnsi="Verdana"/>
          <w:szCs w:val="20"/>
          <w:lang w:val="pl-PL"/>
        </w:rPr>
        <w:lastRenderedPageBreak/>
        <w:t>Zamawiający</w:t>
      </w:r>
      <w:r w:rsidR="000F2846">
        <w:rPr>
          <w:rFonts w:ascii="Verdana" w:hAnsi="Verdana"/>
          <w:szCs w:val="20"/>
          <w:lang w:val="pl-PL"/>
        </w:rPr>
        <w:t xml:space="preserve"> i</w:t>
      </w:r>
      <w:r>
        <w:rPr>
          <w:rFonts w:ascii="Verdana" w:hAnsi="Verdana"/>
          <w:szCs w:val="20"/>
          <w:lang w:val="pl-PL"/>
        </w:rPr>
        <w:t>nformuje, że oferta wykonawcy Bystrzak sp. z o.o. została odrzucona</w:t>
      </w:r>
      <w:r w:rsidR="00F32BC5">
        <w:rPr>
          <w:rFonts w:ascii="Verdana" w:hAnsi="Verdana"/>
          <w:szCs w:val="20"/>
          <w:lang w:val="pl-PL"/>
        </w:rPr>
        <w:t>.</w:t>
      </w:r>
    </w:p>
    <w:p w:rsidR="00F32BC5" w:rsidP="00181B9A" w:rsidRDefault="00F32BC5" w14:paraId="1B397FEF" w14:textId="77777777">
      <w:pPr>
        <w:spacing w:line="360" w:lineRule="auto"/>
        <w:rPr>
          <w:rFonts w:ascii="Verdana" w:hAnsi="Verdana"/>
          <w:szCs w:val="20"/>
          <w:lang w:val="pl-PL"/>
        </w:rPr>
      </w:pPr>
    </w:p>
    <w:p w:rsidR="000F2846" w:rsidP="00181B9A" w:rsidRDefault="00F32BC5" w14:paraId="3C407A58" w14:textId="0B7171AC">
      <w:pPr>
        <w:spacing w:line="360" w:lineRule="auto"/>
        <w:rPr>
          <w:rFonts w:ascii="Verdana" w:hAnsi="Verdana"/>
          <w:szCs w:val="20"/>
          <w:lang w:val="pl-PL"/>
        </w:rPr>
      </w:pPr>
      <w:r>
        <w:rPr>
          <w:rFonts w:ascii="Verdana" w:hAnsi="Verdana"/>
          <w:szCs w:val="20"/>
          <w:lang w:val="pl-PL"/>
        </w:rPr>
        <w:t>P</w:t>
      </w:r>
      <w:r w:rsidR="00247D66">
        <w:rPr>
          <w:rFonts w:ascii="Verdana" w:hAnsi="Verdana"/>
          <w:szCs w:val="20"/>
          <w:lang w:val="pl-PL"/>
        </w:rPr>
        <w:t>oniżej przedstawione zostało uzasadnienie faktyczne i prawne</w:t>
      </w:r>
      <w:r w:rsidR="000B4619">
        <w:rPr>
          <w:rFonts w:ascii="Verdana" w:hAnsi="Verdana"/>
          <w:szCs w:val="20"/>
          <w:lang w:val="pl-PL"/>
        </w:rPr>
        <w:t xml:space="preserve"> dla ww. czynności</w:t>
      </w:r>
      <w:r w:rsidR="00247D66">
        <w:rPr>
          <w:rFonts w:ascii="Verdana" w:hAnsi="Verdana"/>
          <w:szCs w:val="20"/>
          <w:lang w:val="pl-PL"/>
        </w:rPr>
        <w:t>.</w:t>
      </w:r>
    </w:p>
    <w:p w:rsidR="00247D66" w:rsidP="00181B9A" w:rsidRDefault="00247D66" w14:paraId="12E1569A" w14:textId="235E29C1">
      <w:pPr>
        <w:spacing w:line="360" w:lineRule="auto"/>
        <w:rPr>
          <w:rFonts w:ascii="Verdana" w:hAnsi="Verdana"/>
          <w:szCs w:val="20"/>
          <w:lang w:val="pl-PL"/>
        </w:rPr>
      </w:pPr>
    </w:p>
    <w:p w:rsidR="00346351" w:rsidP="00181B9A" w:rsidRDefault="00346351" w14:paraId="555FBF0E" w14:textId="74D62501">
      <w:pPr>
        <w:spacing w:line="360" w:lineRule="auto"/>
        <w:rPr>
          <w:rFonts w:ascii="Verdana" w:hAnsi="Verdana"/>
          <w:b/>
          <w:bCs/>
          <w:szCs w:val="20"/>
          <w:lang w:val="pl-PL"/>
        </w:rPr>
      </w:pPr>
      <w:r>
        <w:rPr>
          <w:rFonts w:ascii="Verdana" w:hAnsi="Verdana"/>
          <w:b/>
          <w:bCs/>
          <w:szCs w:val="20"/>
          <w:lang w:val="pl-PL"/>
        </w:rPr>
        <w:t xml:space="preserve">Uzasadnienie prawne </w:t>
      </w:r>
    </w:p>
    <w:p w:rsidRPr="00C24CD2" w:rsidR="00346351" w:rsidP="00181B9A" w:rsidRDefault="00C24CD2" w14:paraId="56567D57" w14:textId="6F23696A">
      <w:pPr>
        <w:spacing w:line="360" w:lineRule="auto"/>
        <w:rPr>
          <w:rFonts w:ascii="Verdana" w:hAnsi="Verdana"/>
          <w:szCs w:val="20"/>
          <w:lang w:val="pl-PL"/>
        </w:rPr>
      </w:pPr>
      <w:r w:rsidRPr="00C24CD2">
        <w:rPr>
          <w:rFonts w:ascii="Verdana" w:hAnsi="Verdana"/>
          <w:szCs w:val="20"/>
          <w:lang w:val="pl-PL"/>
        </w:rPr>
        <w:t>Oferta wykonawcy Bystrzak sp. z o.o. podlega odrzuceniu w oparciu o art. 226 ust. 1 pkt 2 lit. a) PZP (z uwagi na to, że w stosunku do wykonawca ziściły się przesłanki zastosowania art. 109 ust. 1 pkt 10 PZP</w:t>
      </w:r>
      <w:r w:rsidR="00B45D2E">
        <w:rPr>
          <w:rFonts w:ascii="Verdana" w:hAnsi="Verdana"/>
          <w:szCs w:val="20"/>
          <w:lang w:val="pl-PL"/>
        </w:rPr>
        <w:t>)</w:t>
      </w:r>
      <w:r w:rsidRPr="00C24CD2">
        <w:rPr>
          <w:rFonts w:ascii="Verdana" w:hAnsi="Verdana"/>
          <w:szCs w:val="20"/>
          <w:lang w:val="pl-PL"/>
        </w:rPr>
        <w:t>.</w:t>
      </w:r>
    </w:p>
    <w:p w:rsidR="00346351" w:rsidP="00181B9A" w:rsidRDefault="00346351" w14:paraId="33A4B4DC" w14:textId="77777777">
      <w:pPr>
        <w:spacing w:line="360" w:lineRule="auto"/>
        <w:rPr>
          <w:rFonts w:ascii="Verdana" w:hAnsi="Verdana"/>
          <w:b/>
          <w:bCs/>
          <w:szCs w:val="20"/>
          <w:lang w:val="pl-PL"/>
        </w:rPr>
      </w:pPr>
    </w:p>
    <w:p w:rsidRPr="00B45D2E" w:rsidR="00247D66" w:rsidP="00181B9A" w:rsidRDefault="00247D66" w14:paraId="346AF9A0" w14:textId="3C8FF966">
      <w:pPr>
        <w:spacing w:line="360" w:lineRule="auto"/>
        <w:rPr>
          <w:rFonts w:ascii="Verdana" w:hAnsi="Verdana"/>
          <w:b/>
          <w:bCs/>
          <w:szCs w:val="20"/>
          <w:lang w:val="pl-PL"/>
        </w:rPr>
      </w:pPr>
      <w:r w:rsidRPr="00F11214">
        <w:rPr>
          <w:rFonts w:ascii="Verdana" w:hAnsi="Verdana"/>
          <w:b/>
          <w:bCs/>
          <w:szCs w:val="20"/>
          <w:lang w:val="pl-PL"/>
        </w:rPr>
        <w:t>Uzasadnienie faktyczne</w:t>
      </w:r>
    </w:p>
    <w:p w:rsidRPr="00CC418B" w:rsidR="00CC418B" w:rsidP="00181B9A" w:rsidRDefault="00374E6D" w14:paraId="4A65167A" w14:textId="588C0F10">
      <w:pPr>
        <w:spacing w:line="360" w:lineRule="auto"/>
        <w:rPr>
          <w:rFonts w:ascii="Verdana" w:hAnsi="Verdana"/>
          <w:szCs w:val="20"/>
          <w:lang w:val="pl-PL"/>
        </w:rPr>
      </w:pPr>
      <w:r>
        <w:rPr>
          <w:rFonts w:ascii="Verdana" w:hAnsi="Verdana"/>
          <w:szCs w:val="20"/>
          <w:lang w:val="pl-PL"/>
        </w:rPr>
        <w:t>Zgodnie z rozdziałem XVIII SW</w:t>
      </w:r>
      <w:r w:rsidR="00F11214">
        <w:rPr>
          <w:rFonts w:ascii="Verdana" w:hAnsi="Verdana"/>
          <w:szCs w:val="20"/>
          <w:lang w:val="pl-PL"/>
        </w:rPr>
        <w:t>Z, w celu przyznan</w:t>
      </w:r>
      <w:r w:rsidR="00CC418B">
        <w:rPr>
          <w:rFonts w:ascii="Verdana" w:hAnsi="Verdana"/>
          <w:szCs w:val="20"/>
          <w:lang w:val="pl-PL"/>
        </w:rPr>
        <w:t>i</w:t>
      </w:r>
      <w:r w:rsidR="00F11214">
        <w:rPr>
          <w:rFonts w:ascii="Verdana" w:hAnsi="Verdana"/>
          <w:szCs w:val="20"/>
          <w:lang w:val="pl-PL"/>
        </w:rPr>
        <w:t xml:space="preserve">a wykonawcom punktów w ramach kryterium „Dodatkowe doświadczenie Kierownika budowy”, Zamawiający </w:t>
      </w:r>
      <w:r w:rsidR="001E2A2E">
        <w:rPr>
          <w:rFonts w:ascii="Verdana" w:hAnsi="Verdana"/>
          <w:szCs w:val="20"/>
          <w:lang w:val="pl-PL"/>
        </w:rPr>
        <w:t>oceniał dodatkowe</w:t>
      </w:r>
      <w:r w:rsidR="000B4619">
        <w:rPr>
          <w:rFonts w:ascii="Verdana" w:hAnsi="Verdana"/>
          <w:szCs w:val="20"/>
          <w:lang w:val="pl-PL"/>
        </w:rPr>
        <w:t xml:space="preserve"> doświadczenie posiadane przez osobę dedykowaną na stanowisko </w:t>
      </w:r>
      <w:r w:rsidR="001168C7">
        <w:rPr>
          <w:rFonts w:ascii="Verdana" w:hAnsi="Verdana"/>
          <w:szCs w:val="20"/>
          <w:lang w:val="pl-PL"/>
        </w:rPr>
        <w:t>K</w:t>
      </w:r>
      <w:r w:rsidR="000B4619">
        <w:rPr>
          <w:rFonts w:ascii="Verdana" w:hAnsi="Verdana"/>
          <w:szCs w:val="20"/>
          <w:lang w:val="pl-PL"/>
        </w:rPr>
        <w:t xml:space="preserve">ierownika </w:t>
      </w:r>
      <w:r w:rsidRPr="00CC418B" w:rsidR="000B4619">
        <w:rPr>
          <w:rFonts w:ascii="Verdana" w:hAnsi="Verdana"/>
          <w:szCs w:val="20"/>
          <w:lang w:val="pl-PL"/>
        </w:rPr>
        <w:t>budowy, w</w:t>
      </w:r>
      <w:r w:rsidRPr="00CC418B" w:rsidR="001E2A2E">
        <w:rPr>
          <w:rFonts w:ascii="Verdana" w:hAnsi="Verdana"/>
          <w:szCs w:val="20"/>
          <w:lang w:val="pl-PL"/>
        </w:rPr>
        <w:t>ykraczające poza warunek udziału w postępowaniu, o którym mowa w rozdz</w:t>
      </w:r>
      <w:r w:rsidR="00567A0B">
        <w:rPr>
          <w:rFonts w:ascii="Verdana" w:hAnsi="Verdana"/>
          <w:szCs w:val="20"/>
          <w:lang w:val="pl-PL"/>
        </w:rPr>
        <w:t>iale</w:t>
      </w:r>
      <w:r w:rsidRPr="00CC418B" w:rsidR="001E2A2E">
        <w:rPr>
          <w:rFonts w:ascii="Verdana" w:hAnsi="Verdana"/>
          <w:szCs w:val="20"/>
          <w:lang w:val="pl-PL"/>
        </w:rPr>
        <w:t xml:space="preserve"> V pkt 2) SWZ </w:t>
      </w:r>
      <w:r w:rsidRPr="00CC418B" w:rsidR="00035EC5">
        <w:rPr>
          <w:rFonts w:ascii="Verdana" w:hAnsi="Verdana"/>
          <w:szCs w:val="20"/>
          <w:lang w:val="pl-PL"/>
        </w:rPr>
        <w:t xml:space="preserve">- </w:t>
      </w:r>
      <w:r w:rsidRPr="00CC418B" w:rsidR="001E2A2E">
        <w:rPr>
          <w:rFonts w:ascii="Verdana" w:hAnsi="Verdana"/>
          <w:szCs w:val="20"/>
          <w:lang w:val="pl-PL"/>
        </w:rPr>
        <w:t xml:space="preserve">tj. </w:t>
      </w:r>
      <w:r w:rsidR="00627AF4">
        <w:rPr>
          <w:rFonts w:ascii="Verdana" w:hAnsi="Verdana"/>
          <w:szCs w:val="20"/>
          <w:lang w:val="pl-PL"/>
        </w:rPr>
        <w:t xml:space="preserve">co najmniej </w:t>
      </w:r>
      <w:r w:rsidRPr="00CC418B" w:rsidR="001E2A2E">
        <w:rPr>
          <w:rFonts w:ascii="Verdana" w:hAnsi="Verdana"/>
          <w:szCs w:val="20"/>
          <w:lang w:val="pl-PL"/>
        </w:rPr>
        <w:t xml:space="preserve">12 miesięcy doświadczenia </w:t>
      </w:r>
      <w:r w:rsidRPr="00CC418B" w:rsidR="00C40DB4">
        <w:rPr>
          <w:rFonts w:ascii="Verdana" w:hAnsi="Verdana"/>
          <w:szCs w:val="20"/>
          <w:lang w:val="pl-PL"/>
        </w:rPr>
        <w:t xml:space="preserve">na stanowisku </w:t>
      </w:r>
      <w:r w:rsidR="00567A0B">
        <w:rPr>
          <w:rFonts w:ascii="Verdana" w:hAnsi="Verdana"/>
          <w:szCs w:val="20"/>
          <w:lang w:val="pl-PL"/>
        </w:rPr>
        <w:t>K</w:t>
      </w:r>
      <w:r w:rsidRPr="00CC418B" w:rsidR="00C40DB4">
        <w:rPr>
          <w:rFonts w:ascii="Verdana" w:hAnsi="Verdana"/>
          <w:szCs w:val="20"/>
          <w:lang w:val="pl-PL"/>
        </w:rPr>
        <w:t xml:space="preserve">ierownika budowy lub </w:t>
      </w:r>
      <w:r w:rsidR="00567A0B">
        <w:rPr>
          <w:rFonts w:ascii="Verdana" w:hAnsi="Verdana"/>
          <w:szCs w:val="20"/>
          <w:lang w:val="pl-PL"/>
        </w:rPr>
        <w:t>K</w:t>
      </w:r>
      <w:r w:rsidRPr="00CC418B" w:rsidR="00C40DB4">
        <w:rPr>
          <w:rFonts w:ascii="Verdana" w:hAnsi="Verdana"/>
          <w:szCs w:val="20"/>
          <w:lang w:val="pl-PL"/>
        </w:rPr>
        <w:t xml:space="preserve">ierownika robót drogowych lub </w:t>
      </w:r>
      <w:r w:rsidRPr="00F14485" w:rsidR="00C40DB4">
        <w:rPr>
          <w:rFonts w:ascii="Verdana" w:hAnsi="Verdana"/>
          <w:szCs w:val="20"/>
          <w:lang w:val="pl-PL"/>
        </w:rPr>
        <w:t>innych robót branżowych lub Inżyniera kontraktu</w:t>
      </w:r>
      <w:r w:rsidRPr="00CC418B" w:rsidR="00C40DB4">
        <w:rPr>
          <w:rFonts w:ascii="Verdana" w:hAnsi="Verdana"/>
          <w:szCs w:val="20"/>
          <w:lang w:val="pl-PL"/>
        </w:rPr>
        <w:t xml:space="preserve"> (z ramienia zamawiającego</w:t>
      </w:r>
      <w:r w:rsidRPr="00CC418B" w:rsidR="00DC5881">
        <w:rPr>
          <w:rFonts w:ascii="Verdana" w:hAnsi="Verdana"/>
          <w:szCs w:val="20"/>
          <w:lang w:val="pl-PL"/>
        </w:rPr>
        <w:t xml:space="preserve">), </w:t>
      </w:r>
      <w:r w:rsidRPr="00CC418B" w:rsidR="00C40DB4">
        <w:rPr>
          <w:rFonts w:ascii="Verdana" w:hAnsi="Verdana"/>
          <w:szCs w:val="20"/>
          <w:lang w:val="pl-PL"/>
        </w:rPr>
        <w:t>nabyt</w:t>
      </w:r>
      <w:r w:rsidRPr="00CC418B" w:rsidR="00DC5881">
        <w:rPr>
          <w:rFonts w:ascii="Verdana" w:hAnsi="Verdana"/>
          <w:szCs w:val="20"/>
          <w:lang w:val="pl-PL"/>
        </w:rPr>
        <w:t>e</w:t>
      </w:r>
      <w:r w:rsidR="007373B4">
        <w:rPr>
          <w:rFonts w:ascii="Verdana" w:hAnsi="Verdana"/>
          <w:szCs w:val="20"/>
          <w:lang w:val="pl-PL"/>
        </w:rPr>
        <w:t>go</w:t>
      </w:r>
      <w:r w:rsidRPr="00CC418B" w:rsidR="00DC5881">
        <w:rPr>
          <w:rFonts w:ascii="Verdana" w:hAnsi="Verdana"/>
          <w:szCs w:val="20"/>
          <w:lang w:val="pl-PL"/>
        </w:rPr>
        <w:t xml:space="preserve"> przy każdej dodatkowej </w:t>
      </w:r>
      <w:r w:rsidRPr="00CC418B" w:rsidR="00C40DB4">
        <w:rPr>
          <w:rFonts w:ascii="Verdana" w:hAnsi="Verdana"/>
          <w:szCs w:val="20"/>
          <w:lang w:val="pl-PL"/>
        </w:rPr>
        <w:t>inwestycji, polegającej na budowie</w:t>
      </w:r>
      <w:r w:rsidR="00CC418B">
        <w:rPr>
          <w:rFonts w:ascii="Verdana" w:hAnsi="Verdana"/>
          <w:szCs w:val="20"/>
          <w:lang w:val="pl-PL"/>
        </w:rPr>
        <w:t>, remoncie lub przebudowie</w:t>
      </w:r>
      <w:r w:rsidRPr="00CC418B" w:rsidR="00C40DB4">
        <w:rPr>
          <w:rFonts w:ascii="Verdana" w:hAnsi="Verdana"/>
          <w:szCs w:val="20"/>
          <w:lang w:val="pl-PL"/>
        </w:rPr>
        <w:t xml:space="preserve"> drogi </w:t>
      </w:r>
      <w:r w:rsidR="00CC418B">
        <w:rPr>
          <w:rFonts w:ascii="Verdana" w:hAnsi="Verdana"/>
          <w:szCs w:val="20"/>
          <w:lang w:val="pl-PL"/>
        </w:rPr>
        <w:t>klasy Z lub wyższej</w:t>
      </w:r>
      <w:r w:rsidR="00084966">
        <w:rPr>
          <w:rFonts w:ascii="Verdana" w:hAnsi="Verdana"/>
          <w:szCs w:val="20"/>
          <w:lang w:val="pl-PL"/>
        </w:rPr>
        <w:t>,</w:t>
      </w:r>
      <w:r w:rsidR="00CC418B">
        <w:rPr>
          <w:rFonts w:ascii="Verdana" w:hAnsi="Verdana"/>
          <w:szCs w:val="20"/>
          <w:lang w:val="pl-PL"/>
        </w:rPr>
        <w:t xml:space="preserve"> </w:t>
      </w:r>
      <w:r w:rsidRPr="00CC418B" w:rsidR="00C40DB4">
        <w:rPr>
          <w:rFonts w:ascii="Verdana" w:hAnsi="Verdana"/>
          <w:szCs w:val="20"/>
          <w:lang w:val="pl-PL"/>
        </w:rPr>
        <w:t>o wartości minimum 50 000 000 PLN</w:t>
      </w:r>
      <w:r w:rsidRPr="00CC418B" w:rsidR="00DC5881">
        <w:rPr>
          <w:rFonts w:ascii="Verdana" w:hAnsi="Verdana"/>
          <w:szCs w:val="20"/>
          <w:lang w:val="pl-PL"/>
        </w:rPr>
        <w:t xml:space="preserve">, </w:t>
      </w:r>
      <w:r w:rsidR="00084966">
        <w:rPr>
          <w:rFonts w:ascii="Verdana" w:hAnsi="Verdana"/>
          <w:szCs w:val="20"/>
          <w:lang w:val="pl-PL"/>
        </w:rPr>
        <w:t>ponad</w:t>
      </w:r>
      <w:r w:rsidRPr="0001719D" w:rsidR="00DC5881">
        <w:rPr>
          <w:rFonts w:ascii="Verdana" w:hAnsi="Verdana" w:cstheme="minorHAnsi"/>
          <w:szCs w:val="20"/>
          <w:lang w:val="pl-PL"/>
        </w:rPr>
        <w:t xml:space="preserve"> jedn</w:t>
      </w:r>
      <w:r w:rsidR="00084966">
        <w:rPr>
          <w:rFonts w:ascii="Verdana" w:hAnsi="Verdana" w:cstheme="minorHAnsi"/>
          <w:szCs w:val="20"/>
          <w:lang w:val="pl-PL"/>
        </w:rPr>
        <w:t>ą</w:t>
      </w:r>
      <w:r w:rsidRPr="0001719D" w:rsidR="00DC5881">
        <w:rPr>
          <w:rFonts w:ascii="Verdana" w:hAnsi="Verdana" w:cstheme="minorHAnsi"/>
          <w:szCs w:val="20"/>
          <w:lang w:val="pl-PL"/>
        </w:rPr>
        <w:t xml:space="preserve"> inwestycj</w:t>
      </w:r>
      <w:r w:rsidR="00084966">
        <w:rPr>
          <w:rFonts w:ascii="Verdana" w:hAnsi="Verdana" w:cstheme="minorHAnsi"/>
          <w:szCs w:val="20"/>
          <w:lang w:val="pl-PL"/>
        </w:rPr>
        <w:t>ę</w:t>
      </w:r>
      <w:r w:rsidRPr="0001719D" w:rsidR="00DC5881">
        <w:rPr>
          <w:rFonts w:ascii="Verdana" w:hAnsi="Verdana" w:cstheme="minorHAnsi"/>
          <w:szCs w:val="20"/>
          <w:lang w:val="pl-PL"/>
        </w:rPr>
        <w:t xml:space="preserve"> wymagan</w:t>
      </w:r>
      <w:r w:rsidR="00084966">
        <w:rPr>
          <w:rFonts w:ascii="Verdana" w:hAnsi="Verdana" w:cstheme="minorHAnsi"/>
          <w:szCs w:val="20"/>
          <w:lang w:val="pl-PL"/>
        </w:rPr>
        <w:t>ą</w:t>
      </w:r>
      <w:r w:rsidRPr="0001719D" w:rsidR="00DC5881">
        <w:rPr>
          <w:rFonts w:ascii="Verdana" w:hAnsi="Verdana" w:cstheme="minorHAnsi"/>
          <w:szCs w:val="20"/>
          <w:lang w:val="pl-PL"/>
        </w:rPr>
        <w:t xml:space="preserve"> dla wykazania warunku udziału w postępowaniu, </w:t>
      </w:r>
      <w:r w:rsidRPr="00CC418B" w:rsidR="00035EC5">
        <w:rPr>
          <w:rFonts w:ascii="Verdana" w:hAnsi="Verdana"/>
          <w:szCs w:val="20"/>
          <w:lang w:val="pl-PL"/>
        </w:rPr>
        <w:t>w następujący sposób:</w:t>
      </w:r>
    </w:p>
    <w:p w:rsidR="0022771D" w:rsidP="00181B9A" w:rsidRDefault="0022771D" w14:paraId="62AAF47E" w14:textId="77777777">
      <w:pPr>
        <w:spacing w:line="360" w:lineRule="auto"/>
        <w:rPr>
          <w:rFonts w:ascii="Verdana" w:hAnsi="Verdana"/>
          <w:szCs w:val="20"/>
          <w:lang w:val="pl-PL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907"/>
        <w:gridCol w:w="4160"/>
      </w:tblGrid>
      <w:tr w:rsidR="00035EC5" w:rsidTr="00627AF4" w14:paraId="5965CFC5" w14:textId="77777777">
        <w:tc>
          <w:tcPr>
            <w:tcW w:w="4907" w:type="dxa"/>
          </w:tcPr>
          <w:p w:rsidR="00035EC5" w:rsidP="00181B9A" w:rsidRDefault="00035EC5" w14:paraId="28F1A36C" w14:textId="77777777">
            <w:pPr>
              <w:pStyle w:val="Akapitzlist"/>
              <w:spacing w:line="360" w:lineRule="auto"/>
              <w:ind w:left="0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B45D2E">
              <w:rPr>
                <w:rFonts w:ascii="Verdana" w:hAnsi="Verdana" w:cstheme="minorHAnsi"/>
                <w:sz w:val="20"/>
                <w:szCs w:val="20"/>
              </w:rPr>
              <w:t xml:space="preserve">1 inwestycja </w:t>
            </w:r>
          </w:p>
          <w:p w:rsidRPr="00DA51F9" w:rsidR="00DA51F9" w:rsidP="00181B9A" w:rsidRDefault="00DA51F9" w14:paraId="64DB9387" w14:textId="59174039">
            <w:pPr>
              <w:pStyle w:val="Akapitzlist"/>
              <w:spacing w:line="360" w:lineRule="auto"/>
              <w:ind w:left="0"/>
              <w:jc w:val="both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DA51F9">
              <w:rPr>
                <w:rFonts w:ascii="Verdana" w:hAnsi="Verdana" w:cstheme="minorHAnsi"/>
                <w:sz w:val="18"/>
                <w:szCs w:val="18"/>
              </w:rPr>
              <w:t>(na potrzeby wykazania spełnienia warunku udziału z rozdz. V pkt 2)</w:t>
            </w:r>
          </w:p>
        </w:tc>
        <w:tc>
          <w:tcPr>
            <w:tcW w:w="4160" w:type="dxa"/>
          </w:tcPr>
          <w:p w:rsidRPr="00B45D2E" w:rsidR="00035EC5" w:rsidP="00181B9A" w:rsidRDefault="00035EC5" w14:paraId="56B78493" w14:textId="77777777">
            <w:pPr>
              <w:pStyle w:val="Akapitzlist"/>
              <w:spacing w:line="360" w:lineRule="auto"/>
              <w:ind w:left="0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B45D2E">
              <w:rPr>
                <w:rFonts w:ascii="Verdana" w:hAnsi="Verdana" w:cstheme="minorHAnsi"/>
                <w:sz w:val="20"/>
                <w:szCs w:val="20"/>
              </w:rPr>
              <w:t>0 punktów</w:t>
            </w:r>
          </w:p>
        </w:tc>
      </w:tr>
      <w:tr w:rsidR="00035EC5" w:rsidTr="00627AF4" w14:paraId="5D19F702" w14:textId="77777777">
        <w:tc>
          <w:tcPr>
            <w:tcW w:w="4907" w:type="dxa"/>
          </w:tcPr>
          <w:p w:rsidRPr="00B45D2E" w:rsidR="00035EC5" w:rsidP="00181B9A" w:rsidRDefault="00035EC5" w14:paraId="31E0A6A3" w14:textId="77777777">
            <w:pPr>
              <w:pStyle w:val="Akapitzlist"/>
              <w:spacing w:line="360" w:lineRule="auto"/>
              <w:ind w:left="0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B45D2E">
              <w:rPr>
                <w:rFonts w:ascii="Verdana" w:hAnsi="Verdana" w:cstheme="minorHAnsi"/>
                <w:sz w:val="20"/>
                <w:szCs w:val="20"/>
              </w:rPr>
              <w:t xml:space="preserve">2 inwestycje </w:t>
            </w:r>
          </w:p>
        </w:tc>
        <w:tc>
          <w:tcPr>
            <w:tcW w:w="4160" w:type="dxa"/>
          </w:tcPr>
          <w:p w:rsidRPr="00B45D2E" w:rsidR="00035EC5" w:rsidP="00181B9A" w:rsidRDefault="00035EC5" w14:paraId="12658E8A" w14:textId="77777777">
            <w:pPr>
              <w:pStyle w:val="Akapitzlist"/>
              <w:spacing w:line="360" w:lineRule="auto"/>
              <w:ind w:left="0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B45D2E">
              <w:rPr>
                <w:rFonts w:ascii="Verdana" w:hAnsi="Verdana" w:cstheme="minorHAnsi"/>
                <w:sz w:val="20"/>
                <w:szCs w:val="20"/>
              </w:rPr>
              <w:t>10 punktów</w:t>
            </w:r>
          </w:p>
        </w:tc>
      </w:tr>
      <w:tr w:rsidR="00035EC5" w:rsidTr="00627AF4" w14:paraId="3C527007" w14:textId="77777777">
        <w:tc>
          <w:tcPr>
            <w:tcW w:w="4907" w:type="dxa"/>
          </w:tcPr>
          <w:p w:rsidRPr="00B45D2E" w:rsidR="00035EC5" w:rsidP="00181B9A" w:rsidRDefault="00035EC5" w14:paraId="4825EE61" w14:textId="77777777">
            <w:pPr>
              <w:pStyle w:val="Akapitzlist"/>
              <w:spacing w:line="360" w:lineRule="auto"/>
              <w:ind w:left="0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B45D2E">
              <w:rPr>
                <w:rFonts w:ascii="Verdana" w:hAnsi="Verdana" w:cstheme="minorHAnsi"/>
                <w:sz w:val="20"/>
                <w:szCs w:val="20"/>
              </w:rPr>
              <w:t xml:space="preserve">3 inwestycje </w:t>
            </w:r>
          </w:p>
        </w:tc>
        <w:tc>
          <w:tcPr>
            <w:tcW w:w="4160" w:type="dxa"/>
          </w:tcPr>
          <w:p w:rsidRPr="00B45D2E" w:rsidR="00035EC5" w:rsidP="00181B9A" w:rsidRDefault="00035EC5" w14:paraId="7236D33B" w14:textId="77777777">
            <w:pPr>
              <w:pStyle w:val="Akapitzlist"/>
              <w:spacing w:line="360" w:lineRule="auto"/>
              <w:ind w:left="0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B45D2E">
              <w:rPr>
                <w:rFonts w:ascii="Verdana" w:hAnsi="Verdana" w:cstheme="minorHAnsi"/>
                <w:sz w:val="20"/>
                <w:szCs w:val="20"/>
              </w:rPr>
              <w:t>15 punktów</w:t>
            </w:r>
          </w:p>
        </w:tc>
      </w:tr>
      <w:tr w:rsidR="00035EC5" w:rsidTr="00627AF4" w14:paraId="77F0F53E" w14:textId="77777777">
        <w:tc>
          <w:tcPr>
            <w:tcW w:w="4907" w:type="dxa"/>
          </w:tcPr>
          <w:p w:rsidRPr="00B45D2E" w:rsidR="00035EC5" w:rsidP="00181B9A" w:rsidRDefault="00035EC5" w14:paraId="41A07E1B" w14:textId="77777777">
            <w:pPr>
              <w:pStyle w:val="Akapitzlist"/>
              <w:spacing w:line="360" w:lineRule="auto"/>
              <w:ind w:left="0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B45D2E">
              <w:rPr>
                <w:rFonts w:ascii="Verdana" w:hAnsi="Verdana" w:cstheme="minorHAnsi"/>
                <w:sz w:val="20"/>
                <w:szCs w:val="20"/>
              </w:rPr>
              <w:t xml:space="preserve">4 inwestycje </w:t>
            </w:r>
          </w:p>
        </w:tc>
        <w:tc>
          <w:tcPr>
            <w:tcW w:w="4160" w:type="dxa"/>
          </w:tcPr>
          <w:p w:rsidRPr="00B45D2E" w:rsidR="00035EC5" w:rsidP="00181B9A" w:rsidRDefault="00035EC5" w14:paraId="4512A92D" w14:textId="77777777">
            <w:pPr>
              <w:pStyle w:val="Akapitzlist"/>
              <w:spacing w:line="360" w:lineRule="auto"/>
              <w:ind w:left="0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B45D2E">
              <w:rPr>
                <w:rFonts w:ascii="Verdana" w:hAnsi="Verdana" w:cstheme="minorHAnsi"/>
                <w:sz w:val="20"/>
                <w:szCs w:val="20"/>
              </w:rPr>
              <w:t>20 punktów</w:t>
            </w:r>
          </w:p>
        </w:tc>
      </w:tr>
    </w:tbl>
    <w:p w:rsidR="00035EC5" w:rsidP="00181B9A" w:rsidRDefault="00035EC5" w14:paraId="3B92D819" w14:textId="22B9466C">
      <w:pPr>
        <w:spacing w:line="360" w:lineRule="auto"/>
        <w:rPr>
          <w:rFonts w:ascii="Verdana" w:hAnsi="Verdana"/>
          <w:szCs w:val="20"/>
          <w:lang w:val="pl-PL"/>
        </w:rPr>
      </w:pPr>
    </w:p>
    <w:p w:rsidR="00134ED6" w:rsidP="00181B9A" w:rsidRDefault="007E2DAC" w14:paraId="198568EE" w14:textId="59CE05F3">
      <w:pPr>
        <w:spacing w:line="360" w:lineRule="auto"/>
        <w:rPr>
          <w:rFonts w:ascii="Verdana" w:hAnsi="Verdana"/>
          <w:szCs w:val="20"/>
          <w:lang w:val="pl-PL"/>
        </w:rPr>
      </w:pPr>
      <w:r>
        <w:rPr>
          <w:rFonts w:ascii="Verdana" w:hAnsi="Verdana"/>
          <w:szCs w:val="20"/>
          <w:lang w:val="pl-PL"/>
        </w:rPr>
        <w:t>Firma Bystrzak sp. z o.o.</w:t>
      </w:r>
      <w:r w:rsidR="00904D51">
        <w:rPr>
          <w:rFonts w:ascii="Verdana" w:hAnsi="Verdana"/>
          <w:szCs w:val="20"/>
          <w:lang w:val="pl-PL"/>
        </w:rPr>
        <w:t xml:space="preserve"> </w:t>
      </w:r>
      <w:r w:rsidR="007373B4">
        <w:rPr>
          <w:rFonts w:ascii="Verdana" w:hAnsi="Verdana"/>
          <w:szCs w:val="20"/>
          <w:lang w:val="pl-PL"/>
        </w:rPr>
        <w:t xml:space="preserve">w Wykazie osób </w:t>
      </w:r>
      <w:r w:rsidR="003677A1">
        <w:rPr>
          <w:rFonts w:ascii="Verdana" w:hAnsi="Verdana"/>
          <w:szCs w:val="20"/>
          <w:lang w:val="pl-PL"/>
        </w:rPr>
        <w:t xml:space="preserve">załączonym do oferty (załącznik nr 5 do SWZ) </w:t>
      </w:r>
      <w:r w:rsidR="007373B4">
        <w:rPr>
          <w:rFonts w:ascii="Verdana" w:hAnsi="Verdana"/>
          <w:szCs w:val="20"/>
          <w:lang w:val="pl-PL"/>
        </w:rPr>
        <w:t xml:space="preserve">do pełnienia funkcji </w:t>
      </w:r>
      <w:r w:rsidR="00346351">
        <w:rPr>
          <w:rFonts w:ascii="Verdana" w:hAnsi="Verdana"/>
          <w:szCs w:val="20"/>
          <w:lang w:val="pl-PL"/>
        </w:rPr>
        <w:t xml:space="preserve">Kierownika budowy </w:t>
      </w:r>
      <w:r w:rsidR="003677A1">
        <w:rPr>
          <w:rFonts w:ascii="Verdana" w:hAnsi="Verdana"/>
          <w:szCs w:val="20"/>
          <w:lang w:val="pl-PL"/>
        </w:rPr>
        <w:t xml:space="preserve">wskazała </w:t>
      </w:r>
      <w:r w:rsidR="00346351">
        <w:rPr>
          <w:rFonts w:ascii="Verdana" w:hAnsi="Verdana"/>
          <w:szCs w:val="20"/>
          <w:lang w:val="pl-PL"/>
        </w:rPr>
        <w:t xml:space="preserve">p. Jana Kędziora, przypisując mu </w:t>
      </w:r>
      <w:r w:rsidR="003677A1">
        <w:rPr>
          <w:rFonts w:ascii="Verdana" w:hAnsi="Verdana"/>
          <w:szCs w:val="20"/>
          <w:lang w:val="pl-PL"/>
        </w:rPr>
        <w:t xml:space="preserve">następujące </w:t>
      </w:r>
      <w:r w:rsidR="00346351">
        <w:rPr>
          <w:rFonts w:ascii="Verdana" w:hAnsi="Verdana"/>
          <w:szCs w:val="20"/>
          <w:lang w:val="pl-PL"/>
        </w:rPr>
        <w:t>4 inwestycje</w:t>
      </w:r>
      <w:r w:rsidR="003677A1">
        <w:rPr>
          <w:rFonts w:ascii="Verdana" w:hAnsi="Verdana"/>
          <w:szCs w:val="20"/>
          <w:lang w:val="pl-PL"/>
        </w:rPr>
        <w:t xml:space="preserve"> </w:t>
      </w:r>
      <w:r w:rsidR="005D1675">
        <w:rPr>
          <w:rFonts w:ascii="Verdana" w:hAnsi="Verdana"/>
          <w:szCs w:val="20"/>
          <w:lang w:val="pl-PL"/>
        </w:rPr>
        <w:t>odpowiadające</w:t>
      </w:r>
      <w:r w:rsidR="003677A1">
        <w:rPr>
          <w:rFonts w:ascii="Verdana" w:hAnsi="Verdana"/>
          <w:szCs w:val="20"/>
          <w:lang w:val="pl-PL"/>
        </w:rPr>
        <w:t xml:space="preserve"> posiadane</w:t>
      </w:r>
      <w:r w:rsidR="005D1675">
        <w:rPr>
          <w:rFonts w:ascii="Verdana" w:hAnsi="Verdana"/>
          <w:szCs w:val="20"/>
          <w:lang w:val="pl-PL"/>
        </w:rPr>
        <w:t>mu</w:t>
      </w:r>
      <w:r w:rsidR="003677A1">
        <w:rPr>
          <w:rFonts w:ascii="Verdana" w:hAnsi="Verdana"/>
          <w:szCs w:val="20"/>
          <w:lang w:val="pl-PL"/>
        </w:rPr>
        <w:t xml:space="preserve"> przez niego doświadczeni</w:t>
      </w:r>
      <w:r w:rsidR="005D1675">
        <w:rPr>
          <w:rFonts w:ascii="Verdana" w:hAnsi="Verdana"/>
          <w:szCs w:val="20"/>
          <w:lang w:val="pl-PL"/>
        </w:rPr>
        <w:t>u</w:t>
      </w:r>
      <w:r w:rsidR="00134ED6">
        <w:rPr>
          <w:rFonts w:ascii="Verdana" w:hAnsi="Verdana"/>
          <w:szCs w:val="20"/>
          <w:lang w:val="pl-PL"/>
        </w:rPr>
        <w:t>:</w:t>
      </w:r>
    </w:p>
    <w:p w:rsidRPr="00217026" w:rsidR="00134ED6" w:rsidP="00181B9A" w:rsidRDefault="0080270B" w14:paraId="4B254231" w14:textId="3DFE5098">
      <w:pPr>
        <w:pStyle w:val="Akapitzlist"/>
        <w:numPr>
          <w:ilvl w:val="0"/>
          <w:numId w:val="1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i/>
          <w:iCs/>
          <w:sz w:val="20"/>
          <w:szCs w:val="20"/>
        </w:rPr>
        <w:t>„</w:t>
      </w:r>
      <w:r w:rsidRPr="0080270B" w:rsidR="00134ED6">
        <w:rPr>
          <w:rFonts w:ascii="Verdana" w:hAnsi="Verdana" w:cs="Arial"/>
          <w:i/>
          <w:iCs/>
          <w:sz w:val="20"/>
          <w:szCs w:val="20"/>
        </w:rPr>
        <w:t>Budowa drogi</w:t>
      </w:r>
      <w:r w:rsidR="00736EF6">
        <w:rPr>
          <w:rFonts w:ascii="Verdana" w:hAnsi="Verdana" w:cs="Arial"/>
          <w:i/>
          <w:iCs/>
          <w:sz w:val="20"/>
          <w:szCs w:val="20"/>
        </w:rPr>
        <w:t xml:space="preserve"> kl. Z</w:t>
      </w:r>
      <w:r w:rsidRPr="0080270B" w:rsidR="00134ED6">
        <w:rPr>
          <w:rFonts w:ascii="Verdana" w:hAnsi="Verdana" w:cs="Arial"/>
          <w:i/>
          <w:iCs/>
          <w:sz w:val="20"/>
          <w:szCs w:val="20"/>
        </w:rPr>
        <w:t xml:space="preserve"> Koziegłowy-Baranowicze</w:t>
      </w:r>
      <w:r w:rsidR="00736EF6">
        <w:rPr>
          <w:rFonts w:ascii="Verdana" w:hAnsi="Verdana" w:cs="Arial"/>
          <w:i/>
          <w:iCs/>
          <w:sz w:val="20"/>
          <w:szCs w:val="20"/>
        </w:rPr>
        <w:t>”</w:t>
      </w:r>
      <w:r w:rsidRPr="00217026" w:rsidR="00134ED6">
        <w:rPr>
          <w:rFonts w:ascii="Verdana" w:hAnsi="Verdana" w:cs="Arial"/>
          <w:sz w:val="20"/>
          <w:szCs w:val="20"/>
        </w:rPr>
        <w:t xml:space="preserve"> o wartości 60 mln zł;</w:t>
      </w:r>
    </w:p>
    <w:p w:rsidRPr="00217026" w:rsidR="00134ED6" w:rsidP="00181B9A" w:rsidRDefault="0080270B" w14:paraId="601628BB" w14:textId="372495B9">
      <w:pPr>
        <w:pStyle w:val="Akapitzlist"/>
        <w:numPr>
          <w:ilvl w:val="0"/>
          <w:numId w:val="1"/>
        </w:numPr>
        <w:spacing w:line="360" w:lineRule="auto"/>
        <w:rPr>
          <w:rFonts w:ascii="Verdana" w:hAnsi="Verdana"/>
          <w:sz w:val="20"/>
          <w:szCs w:val="20"/>
        </w:rPr>
      </w:pPr>
      <w:r w:rsidRPr="0080270B">
        <w:rPr>
          <w:rFonts w:ascii="Verdana" w:hAnsi="Verdana" w:cs="Arial"/>
          <w:i/>
          <w:iCs/>
          <w:sz w:val="20"/>
          <w:szCs w:val="20"/>
        </w:rPr>
        <w:t>„</w:t>
      </w:r>
      <w:r w:rsidRPr="0080270B" w:rsidR="00134ED6">
        <w:rPr>
          <w:rFonts w:ascii="Verdana" w:hAnsi="Verdana" w:cs="Arial"/>
          <w:i/>
          <w:iCs/>
          <w:sz w:val="20"/>
          <w:szCs w:val="20"/>
        </w:rPr>
        <w:t>Budowa drogi</w:t>
      </w:r>
      <w:r w:rsidR="00736EF6">
        <w:rPr>
          <w:rFonts w:ascii="Verdana" w:hAnsi="Verdana" w:cs="Arial"/>
          <w:i/>
          <w:iCs/>
          <w:sz w:val="20"/>
          <w:szCs w:val="20"/>
        </w:rPr>
        <w:t xml:space="preserve"> kl. Z</w:t>
      </w:r>
      <w:r w:rsidRPr="0080270B" w:rsidR="00134ED6">
        <w:rPr>
          <w:rFonts w:ascii="Verdana" w:hAnsi="Verdana" w:cs="Arial"/>
          <w:i/>
          <w:iCs/>
          <w:sz w:val="20"/>
          <w:szCs w:val="20"/>
        </w:rPr>
        <w:t xml:space="preserve"> Szafiarka-Zawady</w:t>
      </w:r>
      <w:r>
        <w:rPr>
          <w:rFonts w:ascii="Verdana" w:hAnsi="Verdana" w:cs="Arial"/>
          <w:i/>
          <w:iCs/>
          <w:sz w:val="20"/>
          <w:szCs w:val="20"/>
        </w:rPr>
        <w:t>”</w:t>
      </w:r>
      <w:r w:rsidRPr="00217026" w:rsidR="00134ED6">
        <w:rPr>
          <w:rFonts w:ascii="Verdana" w:hAnsi="Verdana" w:cs="Arial"/>
          <w:sz w:val="20"/>
          <w:szCs w:val="20"/>
        </w:rPr>
        <w:t xml:space="preserve"> o wartości 90 mln zł</w:t>
      </w:r>
      <w:r w:rsidR="00476014">
        <w:rPr>
          <w:rFonts w:ascii="Verdana" w:hAnsi="Verdana" w:cs="Arial"/>
          <w:sz w:val="20"/>
          <w:szCs w:val="20"/>
        </w:rPr>
        <w:t>;</w:t>
      </w:r>
    </w:p>
    <w:p w:rsidRPr="00217026" w:rsidR="00134ED6" w:rsidP="00181B9A" w:rsidRDefault="0080270B" w14:paraId="5296DA19" w14:textId="1190A98F">
      <w:pPr>
        <w:pStyle w:val="Akapitzlist"/>
        <w:numPr>
          <w:ilvl w:val="0"/>
          <w:numId w:val="1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„</w:t>
      </w:r>
      <w:r w:rsidRPr="0080270B" w:rsidR="00134ED6">
        <w:rPr>
          <w:rFonts w:ascii="Verdana" w:hAnsi="Verdana" w:cs="Arial"/>
          <w:i/>
          <w:iCs/>
          <w:sz w:val="20"/>
          <w:szCs w:val="20"/>
        </w:rPr>
        <w:t>Budowa drogi</w:t>
      </w:r>
      <w:r w:rsidR="00736EF6">
        <w:rPr>
          <w:rFonts w:ascii="Verdana" w:hAnsi="Verdana" w:cs="Arial"/>
          <w:i/>
          <w:iCs/>
          <w:sz w:val="20"/>
          <w:szCs w:val="20"/>
        </w:rPr>
        <w:t xml:space="preserve"> kl. Z</w:t>
      </w:r>
      <w:r w:rsidRPr="0080270B" w:rsidR="00134ED6">
        <w:rPr>
          <w:rFonts w:ascii="Verdana" w:hAnsi="Verdana" w:cs="Arial"/>
          <w:i/>
          <w:iCs/>
          <w:sz w:val="20"/>
          <w:szCs w:val="20"/>
        </w:rPr>
        <w:t xml:space="preserve"> Chechło Małe-Zapadliny</w:t>
      </w:r>
      <w:r>
        <w:rPr>
          <w:rFonts w:ascii="Verdana" w:hAnsi="Verdana" w:cs="Arial"/>
          <w:sz w:val="20"/>
          <w:szCs w:val="20"/>
        </w:rPr>
        <w:t>”</w:t>
      </w:r>
      <w:r w:rsidRPr="00217026" w:rsidR="00134ED6">
        <w:rPr>
          <w:rFonts w:ascii="Verdana" w:hAnsi="Verdana" w:cs="Arial"/>
          <w:sz w:val="20"/>
          <w:szCs w:val="20"/>
        </w:rPr>
        <w:t xml:space="preserve"> o wartości 61 mln zł</w:t>
      </w:r>
      <w:r w:rsidR="00476014">
        <w:rPr>
          <w:rFonts w:ascii="Verdana" w:hAnsi="Verdana" w:cs="Arial"/>
          <w:sz w:val="20"/>
          <w:szCs w:val="20"/>
        </w:rPr>
        <w:t>;</w:t>
      </w:r>
    </w:p>
    <w:p w:rsidRPr="00217026" w:rsidR="00134ED6" w:rsidP="00181B9A" w:rsidRDefault="0080270B" w14:paraId="399BF770" w14:textId="54D225BD">
      <w:pPr>
        <w:pStyle w:val="Akapitzlist"/>
        <w:numPr>
          <w:ilvl w:val="0"/>
          <w:numId w:val="1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„</w:t>
      </w:r>
      <w:r w:rsidRPr="0080270B" w:rsidR="00134ED6">
        <w:rPr>
          <w:rFonts w:ascii="Verdana" w:hAnsi="Verdana" w:cs="Arial"/>
          <w:i/>
          <w:iCs/>
          <w:sz w:val="20"/>
          <w:szCs w:val="20"/>
        </w:rPr>
        <w:t xml:space="preserve">Budowa drogi </w:t>
      </w:r>
      <w:r w:rsidR="00736EF6">
        <w:rPr>
          <w:rFonts w:ascii="Verdana" w:hAnsi="Verdana" w:cs="Arial"/>
          <w:i/>
          <w:iCs/>
          <w:sz w:val="20"/>
          <w:szCs w:val="20"/>
        </w:rPr>
        <w:t xml:space="preserve">kl. Z </w:t>
      </w:r>
      <w:r w:rsidRPr="0080270B" w:rsidR="00134ED6">
        <w:rPr>
          <w:rFonts w:ascii="Verdana" w:hAnsi="Verdana" w:cs="Arial"/>
          <w:i/>
          <w:iCs/>
          <w:sz w:val="20"/>
          <w:szCs w:val="20"/>
        </w:rPr>
        <w:t>w Bystrkowice-Parki</w:t>
      </w:r>
      <w:r>
        <w:rPr>
          <w:rFonts w:ascii="Verdana" w:hAnsi="Verdana" w:cs="Arial"/>
          <w:i/>
          <w:iCs/>
          <w:sz w:val="20"/>
          <w:szCs w:val="20"/>
        </w:rPr>
        <w:t>”</w:t>
      </w:r>
      <w:r w:rsidRPr="00217026" w:rsidR="00134ED6">
        <w:rPr>
          <w:rFonts w:ascii="Verdana" w:hAnsi="Verdana" w:cs="Arial"/>
          <w:sz w:val="20"/>
          <w:szCs w:val="20"/>
        </w:rPr>
        <w:t xml:space="preserve"> o wartości 100 mln zł</w:t>
      </w:r>
      <w:r w:rsidRPr="00217026" w:rsidR="00217026">
        <w:rPr>
          <w:rFonts w:ascii="Verdana" w:hAnsi="Verdana" w:cs="Arial"/>
          <w:sz w:val="20"/>
          <w:szCs w:val="20"/>
        </w:rPr>
        <w:t>.</w:t>
      </w:r>
    </w:p>
    <w:p w:rsidR="00217026" w:rsidP="00181B9A" w:rsidRDefault="00217026" w14:paraId="12BA3A56" w14:textId="4FC72D52">
      <w:pPr>
        <w:spacing w:line="360" w:lineRule="auto"/>
        <w:rPr>
          <w:rFonts w:ascii="Verdana" w:hAnsi="Verdana"/>
          <w:szCs w:val="20"/>
          <w:lang w:val="pl-PL"/>
        </w:rPr>
      </w:pPr>
      <w:r>
        <w:rPr>
          <w:rFonts w:ascii="Verdana" w:hAnsi="Verdana"/>
          <w:szCs w:val="20"/>
          <w:lang w:val="pl-PL"/>
        </w:rPr>
        <w:t xml:space="preserve">Wykonawca wskazał jednocześnie, że w przypadku pierwszych 3 inwestycji p. Jan Kędzior pełnił funkcję Kierownika budowy (odpowiednio przez okres 14, 15 i 12 miesięcy), z kolei </w:t>
      </w:r>
      <w:r>
        <w:rPr>
          <w:rFonts w:ascii="Verdana" w:hAnsi="Verdana"/>
          <w:szCs w:val="20"/>
          <w:lang w:val="pl-PL"/>
        </w:rPr>
        <w:lastRenderedPageBreak/>
        <w:t xml:space="preserve">w ramach ostatniej inwestycji </w:t>
      </w:r>
      <w:r w:rsidR="00952E16">
        <w:rPr>
          <w:rFonts w:ascii="Verdana" w:hAnsi="Verdana"/>
          <w:szCs w:val="20"/>
          <w:lang w:val="pl-PL"/>
        </w:rPr>
        <w:t xml:space="preserve">pełnił funkcję Dyrektora </w:t>
      </w:r>
      <w:r w:rsidR="00B45D2E">
        <w:rPr>
          <w:rFonts w:ascii="Verdana" w:hAnsi="Verdana"/>
          <w:szCs w:val="20"/>
          <w:lang w:val="pl-PL"/>
        </w:rPr>
        <w:t>K</w:t>
      </w:r>
      <w:r w:rsidR="00952E16">
        <w:rPr>
          <w:rFonts w:ascii="Verdana" w:hAnsi="Verdana"/>
          <w:szCs w:val="20"/>
          <w:lang w:val="pl-PL"/>
        </w:rPr>
        <w:t>ontraktu (przez okres 13 miesięcy).</w:t>
      </w:r>
    </w:p>
    <w:p w:rsidR="00952E16" w:rsidP="00181B9A" w:rsidRDefault="00952E16" w14:paraId="6CA218AC" w14:textId="21996EA7">
      <w:pPr>
        <w:spacing w:line="360" w:lineRule="auto"/>
        <w:rPr>
          <w:rFonts w:ascii="Verdana" w:hAnsi="Verdana"/>
          <w:szCs w:val="20"/>
          <w:lang w:val="pl-PL"/>
        </w:rPr>
      </w:pPr>
    </w:p>
    <w:p w:rsidR="0009219C" w:rsidP="00181B9A" w:rsidRDefault="00952E16" w14:paraId="1D7A7CAD" w14:textId="1BD9D08E">
      <w:pPr>
        <w:spacing w:line="360" w:lineRule="auto"/>
        <w:rPr>
          <w:rFonts w:ascii="Verdana" w:hAnsi="Verdana" w:cs="Arial"/>
          <w:szCs w:val="20"/>
          <w:lang w:val="pl-PL"/>
        </w:rPr>
      </w:pPr>
      <w:r>
        <w:rPr>
          <w:rFonts w:ascii="Verdana" w:hAnsi="Verdana"/>
          <w:szCs w:val="20"/>
          <w:lang w:val="pl-PL"/>
        </w:rPr>
        <w:t xml:space="preserve">Pismem z dnia </w:t>
      </w:r>
      <w:r w:rsidR="00E9207F">
        <w:rPr>
          <w:rFonts w:ascii="Verdana" w:hAnsi="Verdana"/>
          <w:szCs w:val="20"/>
          <w:lang w:val="pl-PL"/>
        </w:rPr>
        <w:t>15 kwietnia 2022 r.</w:t>
      </w:r>
      <w:r w:rsidR="006358D6">
        <w:rPr>
          <w:rFonts w:ascii="Verdana" w:hAnsi="Verdana"/>
          <w:szCs w:val="20"/>
          <w:lang w:val="pl-PL"/>
        </w:rPr>
        <w:t xml:space="preserve"> </w:t>
      </w:r>
      <w:r w:rsidR="00476014">
        <w:rPr>
          <w:rFonts w:ascii="Verdana" w:hAnsi="Verdana"/>
          <w:szCs w:val="20"/>
          <w:lang w:val="pl-PL"/>
        </w:rPr>
        <w:t>Z</w:t>
      </w:r>
      <w:r w:rsidR="006358D6">
        <w:rPr>
          <w:rFonts w:ascii="Verdana" w:hAnsi="Verdana"/>
          <w:szCs w:val="20"/>
          <w:lang w:val="pl-PL"/>
        </w:rPr>
        <w:t>amawiający wezwał wykonawcę do wyjaśnień w zakresie inwestyc</w:t>
      </w:r>
      <w:r w:rsidR="0022771D">
        <w:rPr>
          <w:rFonts w:ascii="Verdana" w:hAnsi="Verdana"/>
          <w:szCs w:val="20"/>
          <w:lang w:val="pl-PL"/>
        </w:rPr>
        <w:t>ji</w:t>
      </w:r>
      <w:r w:rsidR="006358D6">
        <w:rPr>
          <w:rFonts w:ascii="Verdana" w:hAnsi="Verdana"/>
          <w:szCs w:val="20"/>
          <w:lang w:val="pl-PL"/>
        </w:rPr>
        <w:t xml:space="preserve"> pn. „</w:t>
      </w:r>
      <w:r w:rsidRPr="00890156" w:rsidR="006358D6">
        <w:rPr>
          <w:rFonts w:ascii="Verdana" w:hAnsi="Verdana" w:cs="Arial"/>
          <w:i/>
          <w:iCs/>
          <w:szCs w:val="20"/>
          <w:lang w:val="pl-PL"/>
        </w:rPr>
        <w:t>Budowa drogi w Bystrkowice-Parki</w:t>
      </w:r>
      <w:r w:rsidR="00210771">
        <w:rPr>
          <w:rFonts w:ascii="Verdana" w:hAnsi="Verdana" w:cs="Arial"/>
          <w:szCs w:val="20"/>
          <w:lang w:val="pl-PL"/>
        </w:rPr>
        <w:t>”</w:t>
      </w:r>
      <w:r w:rsidR="0022771D">
        <w:rPr>
          <w:rFonts w:ascii="Verdana" w:hAnsi="Verdana" w:cs="Arial"/>
          <w:szCs w:val="20"/>
          <w:lang w:val="pl-PL"/>
        </w:rPr>
        <w:t xml:space="preserve"> (poz. 4 z Wykazu)</w:t>
      </w:r>
      <w:r w:rsidR="002D71A8">
        <w:rPr>
          <w:rFonts w:ascii="Verdana" w:hAnsi="Verdana" w:cs="Arial"/>
          <w:szCs w:val="20"/>
          <w:lang w:val="pl-PL"/>
        </w:rPr>
        <w:t xml:space="preserve">. Zamawiający zwrócił uwagę, że p. Jan Kędzior pełnił w ramach tego zadania funkcję Dyrektora </w:t>
      </w:r>
      <w:r w:rsidR="007D6E61">
        <w:rPr>
          <w:rFonts w:ascii="Verdana" w:hAnsi="Verdana" w:cs="Arial"/>
          <w:szCs w:val="20"/>
          <w:lang w:val="pl-PL"/>
        </w:rPr>
        <w:t>k</w:t>
      </w:r>
      <w:r w:rsidR="002D71A8">
        <w:rPr>
          <w:rFonts w:ascii="Verdana" w:hAnsi="Verdana" w:cs="Arial"/>
          <w:szCs w:val="20"/>
          <w:lang w:val="pl-PL"/>
        </w:rPr>
        <w:t xml:space="preserve">ontraktu, która nie została dopuszczona w treści SWZ. </w:t>
      </w:r>
    </w:p>
    <w:p w:rsidR="0009219C" w:rsidP="00181B9A" w:rsidRDefault="0009219C" w14:paraId="4CDD63B3" w14:textId="77777777">
      <w:pPr>
        <w:spacing w:line="360" w:lineRule="auto"/>
        <w:rPr>
          <w:rFonts w:ascii="Verdana" w:hAnsi="Verdana" w:cs="Arial"/>
          <w:szCs w:val="20"/>
          <w:lang w:val="pl-PL"/>
        </w:rPr>
      </w:pPr>
    </w:p>
    <w:p w:rsidR="00952E16" w:rsidP="00181B9A" w:rsidRDefault="002D71A8" w14:paraId="1636D35D" w14:textId="6FACAE53">
      <w:pPr>
        <w:spacing w:line="360" w:lineRule="auto"/>
        <w:rPr>
          <w:rFonts w:ascii="Verdana" w:hAnsi="Verdana"/>
          <w:szCs w:val="20"/>
          <w:lang w:val="pl-PL"/>
        </w:rPr>
      </w:pPr>
      <w:r>
        <w:rPr>
          <w:rFonts w:ascii="Verdana" w:hAnsi="Verdana" w:cs="Arial"/>
          <w:szCs w:val="20"/>
          <w:lang w:val="pl-PL"/>
        </w:rPr>
        <w:t xml:space="preserve">Wykonawca </w:t>
      </w:r>
      <w:r w:rsidR="0009219C">
        <w:rPr>
          <w:rFonts w:ascii="Verdana" w:hAnsi="Verdana" w:cs="Arial"/>
          <w:szCs w:val="20"/>
          <w:lang w:val="pl-PL"/>
        </w:rPr>
        <w:t xml:space="preserve">(pismem z 20 kwietnia 2022 r.) stwierdził, że co prawda SWZ nie dopuszcza </w:t>
      </w:r>
      <w:r w:rsidR="00890156">
        <w:rPr>
          <w:rFonts w:ascii="Verdana" w:hAnsi="Verdana" w:cs="Arial"/>
          <w:szCs w:val="20"/>
          <w:lang w:val="pl-PL"/>
        </w:rPr>
        <w:t>możliwości posługiwania się doświadczenie</w:t>
      </w:r>
      <w:r w:rsidR="00A522B4">
        <w:rPr>
          <w:rFonts w:ascii="Verdana" w:hAnsi="Verdana" w:cs="Arial"/>
          <w:szCs w:val="20"/>
          <w:lang w:val="pl-PL"/>
        </w:rPr>
        <w:t>m</w:t>
      </w:r>
      <w:r w:rsidR="00890156">
        <w:rPr>
          <w:rFonts w:ascii="Verdana" w:hAnsi="Verdana" w:cs="Arial"/>
          <w:szCs w:val="20"/>
          <w:lang w:val="pl-PL"/>
        </w:rPr>
        <w:t xml:space="preserve"> zdobytym w ramach pełnienia funkcji Dyrektora </w:t>
      </w:r>
      <w:r w:rsidR="00982DB5">
        <w:rPr>
          <w:rFonts w:ascii="Verdana" w:hAnsi="Verdana" w:cs="Arial"/>
          <w:szCs w:val="20"/>
          <w:lang w:val="pl-PL"/>
        </w:rPr>
        <w:t>k</w:t>
      </w:r>
      <w:r w:rsidR="00890156">
        <w:rPr>
          <w:rFonts w:ascii="Verdana" w:hAnsi="Verdana" w:cs="Arial"/>
          <w:szCs w:val="20"/>
          <w:lang w:val="pl-PL"/>
        </w:rPr>
        <w:t>ontraktu, jednak z uwagi na jej doniosłość</w:t>
      </w:r>
      <w:r w:rsidR="00CC0778">
        <w:rPr>
          <w:rFonts w:ascii="Verdana" w:hAnsi="Verdana" w:cs="Arial"/>
          <w:szCs w:val="20"/>
          <w:lang w:val="pl-PL"/>
        </w:rPr>
        <w:t xml:space="preserve"> i odpowiedzialność</w:t>
      </w:r>
      <w:r w:rsidR="00890156">
        <w:rPr>
          <w:rFonts w:ascii="Verdana" w:hAnsi="Verdana" w:cs="Arial"/>
          <w:szCs w:val="20"/>
          <w:lang w:val="pl-PL"/>
        </w:rPr>
        <w:t xml:space="preserve"> (w tym obowiązki pełnione przez taką osobę) </w:t>
      </w:r>
      <w:r w:rsidR="00CC0778">
        <w:rPr>
          <w:rFonts w:ascii="Verdana" w:hAnsi="Verdana" w:cs="Arial"/>
          <w:szCs w:val="20"/>
          <w:lang w:val="pl-PL"/>
        </w:rPr>
        <w:t>zasadne jest przyznanie ofercie wykonawcy dodatkowych punktów w tym zakresie.</w:t>
      </w:r>
    </w:p>
    <w:p w:rsidR="00217026" w:rsidP="00181B9A" w:rsidRDefault="00217026" w14:paraId="387EF879" w14:textId="7D1FFA15">
      <w:pPr>
        <w:spacing w:line="360" w:lineRule="auto"/>
        <w:rPr>
          <w:rFonts w:ascii="Verdana" w:hAnsi="Verdana"/>
          <w:szCs w:val="20"/>
          <w:lang w:val="pl-PL"/>
        </w:rPr>
      </w:pPr>
    </w:p>
    <w:p w:rsidRPr="00EA589F" w:rsidR="00CC0778" w:rsidP="00181B9A" w:rsidRDefault="00CC0778" w14:paraId="4EC9EB8B" w14:textId="33A74966">
      <w:pPr>
        <w:spacing w:line="360" w:lineRule="auto"/>
        <w:rPr>
          <w:rFonts w:ascii="Verdana" w:hAnsi="Verdana" w:cs="Arial"/>
          <w:szCs w:val="20"/>
          <w:lang w:val="pl-PL"/>
        </w:rPr>
      </w:pPr>
      <w:r w:rsidRPr="00F603C4">
        <w:rPr>
          <w:rFonts w:ascii="Verdana" w:hAnsi="Verdana" w:cs="Arial"/>
          <w:szCs w:val="20"/>
          <w:lang w:val="pl-PL"/>
        </w:rPr>
        <w:t>Jednocześnie</w:t>
      </w:r>
      <w:r w:rsidRPr="00F603C4" w:rsidR="0022771D">
        <w:rPr>
          <w:rFonts w:ascii="Verdana" w:hAnsi="Verdana" w:cs="Arial"/>
          <w:szCs w:val="20"/>
          <w:lang w:val="pl-PL"/>
        </w:rPr>
        <w:t xml:space="preserve"> wykonawca odniósł się do inwestycji pn. „</w:t>
      </w:r>
      <w:r w:rsidRPr="00F603C4" w:rsidR="0022771D">
        <w:rPr>
          <w:rFonts w:ascii="Verdana" w:hAnsi="Verdana" w:cs="Arial"/>
          <w:i/>
          <w:iCs/>
          <w:szCs w:val="20"/>
          <w:lang w:val="pl-PL"/>
        </w:rPr>
        <w:t>Budowa drogi Chechło Małe-Zapadliny</w:t>
      </w:r>
      <w:r w:rsidR="0022771D">
        <w:rPr>
          <w:rFonts w:ascii="Verdana" w:hAnsi="Verdana" w:cs="Arial"/>
          <w:szCs w:val="20"/>
          <w:lang w:val="pl-PL"/>
        </w:rPr>
        <w:t>” (</w:t>
      </w:r>
      <w:r w:rsidRPr="00F603C4" w:rsidR="0022771D">
        <w:rPr>
          <w:rFonts w:ascii="Verdana" w:hAnsi="Verdana" w:cs="Arial"/>
          <w:szCs w:val="20"/>
          <w:lang w:val="pl-PL"/>
        </w:rPr>
        <w:t>poz. 3 Wykazu)</w:t>
      </w:r>
      <w:r w:rsidR="0099780E">
        <w:rPr>
          <w:rFonts w:ascii="Verdana" w:hAnsi="Verdana" w:cs="Arial"/>
          <w:szCs w:val="20"/>
          <w:lang w:val="pl-PL"/>
        </w:rPr>
        <w:t>, wskazując, że</w:t>
      </w:r>
      <w:r w:rsidRPr="00F603C4" w:rsidR="0022771D">
        <w:rPr>
          <w:rFonts w:ascii="Verdana" w:hAnsi="Verdana" w:cs="Arial"/>
          <w:szCs w:val="20"/>
          <w:lang w:val="pl-PL"/>
        </w:rPr>
        <w:t xml:space="preserve"> omyłkowo podano 12-miesięczny okres doświadczenia p. Jana Kędziora jako Kierownika budowy, gdy w rzeczywistości pełnił on tę funkcję na tym zadaniu jedynie przez 11 miesięcy.</w:t>
      </w:r>
      <w:r w:rsidR="00F603C4">
        <w:rPr>
          <w:rFonts w:ascii="Verdana" w:hAnsi="Verdana" w:cs="Arial"/>
          <w:szCs w:val="20"/>
          <w:lang w:val="pl-PL"/>
        </w:rPr>
        <w:t xml:space="preserve"> Wykonawca poinformował</w:t>
      </w:r>
      <w:r w:rsidR="0025421C">
        <w:rPr>
          <w:rFonts w:ascii="Verdana" w:hAnsi="Verdana" w:cs="Arial"/>
          <w:szCs w:val="20"/>
          <w:lang w:val="pl-PL"/>
        </w:rPr>
        <w:t xml:space="preserve">, że przeprowadził procedurę </w:t>
      </w:r>
      <w:r w:rsidRPr="0025421C" w:rsidR="0025421C">
        <w:rPr>
          <w:rFonts w:ascii="Verdana" w:hAnsi="Verdana" w:cs="Arial"/>
          <w:i/>
          <w:iCs/>
          <w:szCs w:val="20"/>
          <w:lang w:val="pl-PL"/>
        </w:rPr>
        <w:t>self-cleaningu</w:t>
      </w:r>
      <w:r w:rsidR="0025421C">
        <w:rPr>
          <w:rFonts w:ascii="Verdana" w:hAnsi="Verdana" w:cs="Arial"/>
          <w:szCs w:val="20"/>
          <w:lang w:val="pl-PL"/>
        </w:rPr>
        <w:t xml:space="preserve">, który </w:t>
      </w:r>
      <w:r w:rsidRPr="0025421C" w:rsidR="0025421C">
        <w:rPr>
          <w:rFonts w:ascii="Verdana" w:hAnsi="Verdana" w:cs="Arial"/>
          <w:szCs w:val="20"/>
          <w:lang w:val="pl-PL"/>
        </w:rPr>
        <w:t>składany jest z ostrożności, a jego skrótowa forma i treść jest jak najbardziej adekwatna do wagi popełnionego wykroczenia i jego skutków</w:t>
      </w:r>
      <w:r w:rsidR="00EA589F">
        <w:rPr>
          <w:rFonts w:ascii="Verdana" w:hAnsi="Verdana" w:cs="Arial"/>
          <w:szCs w:val="20"/>
          <w:lang w:val="pl-PL"/>
        </w:rPr>
        <w:t xml:space="preserve">. W ramach złożonych wyjaśnień wykonawca stwierdził, że </w:t>
      </w:r>
      <w:r w:rsidRPr="00EA589F" w:rsidR="00EA589F">
        <w:rPr>
          <w:rFonts w:ascii="Verdana" w:hAnsi="Verdana" w:cs="Arial"/>
          <w:szCs w:val="20"/>
          <w:lang w:val="pl-PL"/>
        </w:rPr>
        <w:t xml:space="preserve">do omyłkowego podania nieprawdziwej informacji doszło na skutek błędów w komunikacji pomiędzy p. Janem Kędziorem, kandydatem do sprawowania funkcji Kierownika budowy </w:t>
      </w:r>
      <w:r w:rsidR="00D25EA4">
        <w:rPr>
          <w:rFonts w:ascii="Verdana" w:hAnsi="Verdana" w:cs="Arial"/>
          <w:szCs w:val="20"/>
          <w:lang w:val="pl-PL"/>
        </w:rPr>
        <w:t>a</w:t>
      </w:r>
      <w:r w:rsidRPr="00EA589F" w:rsidR="00EA589F">
        <w:rPr>
          <w:rFonts w:ascii="Verdana" w:hAnsi="Verdana" w:cs="Arial"/>
          <w:szCs w:val="20"/>
          <w:lang w:val="pl-PL"/>
        </w:rPr>
        <w:t xml:space="preserve"> pracownikiem Bystrzak Sp. z o.o. przygotowującym ofertę</w:t>
      </w:r>
      <w:r w:rsidR="0091728B">
        <w:rPr>
          <w:rFonts w:ascii="Verdana" w:hAnsi="Verdana" w:cs="Arial"/>
          <w:szCs w:val="20"/>
          <w:lang w:val="pl-PL"/>
        </w:rPr>
        <w:t xml:space="preserve"> i,</w:t>
      </w:r>
      <w:r w:rsidRPr="00EA589F" w:rsidR="00EA589F">
        <w:rPr>
          <w:rFonts w:ascii="Verdana" w:hAnsi="Verdana" w:cs="Arial"/>
          <w:szCs w:val="20"/>
          <w:lang w:val="pl-PL"/>
        </w:rPr>
        <w:t xml:space="preserve"> w konsekwencji</w:t>
      </w:r>
      <w:r w:rsidR="00012211">
        <w:rPr>
          <w:rFonts w:ascii="Verdana" w:hAnsi="Verdana" w:cs="Arial"/>
          <w:szCs w:val="20"/>
          <w:lang w:val="pl-PL"/>
        </w:rPr>
        <w:t>,</w:t>
      </w:r>
      <w:r w:rsidRPr="00EA589F" w:rsidR="00EA589F">
        <w:rPr>
          <w:rFonts w:ascii="Verdana" w:hAnsi="Verdana" w:cs="Arial"/>
          <w:szCs w:val="20"/>
          <w:lang w:val="pl-PL"/>
        </w:rPr>
        <w:t xml:space="preserve"> brakiem dodatkowej weryfikacji uzyskiwanych od kandydata informacji, który podał omyłkowo datę zakończenia pełnienia swojej funkcji o miesiąc późniejszą niż zakończenie i odebranie zadania</w:t>
      </w:r>
      <w:r w:rsidR="0091728B">
        <w:rPr>
          <w:rFonts w:ascii="Verdana" w:hAnsi="Verdana" w:cs="Arial"/>
          <w:szCs w:val="20"/>
          <w:lang w:val="pl-PL"/>
        </w:rPr>
        <w:t>.</w:t>
      </w:r>
      <w:r w:rsidR="007C6C4D">
        <w:rPr>
          <w:rFonts w:ascii="Verdana" w:hAnsi="Verdana" w:cs="Arial"/>
          <w:szCs w:val="20"/>
          <w:lang w:val="pl-PL"/>
        </w:rPr>
        <w:t xml:space="preserve"> Do wyjaśnień załączona została notatka służbowa informująca o udzieleniu ustnej reprymendy pracownikowi wykonawcy.</w:t>
      </w:r>
    </w:p>
    <w:p w:rsidR="00CC0778" w:rsidP="00181B9A" w:rsidRDefault="00CC0778" w14:paraId="3A326DEA" w14:textId="77777777">
      <w:pPr>
        <w:spacing w:line="360" w:lineRule="auto"/>
        <w:rPr>
          <w:rFonts w:ascii="Verdana" w:hAnsi="Verdana"/>
          <w:szCs w:val="20"/>
          <w:lang w:val="pl-PL"/>
        </w:rPr>
      </w:pPr>
    </w:p>
    <w:p w:rsidRPr="00181B9A" w:rsidR="007E2DAC" w:rsidP="00181B9A" w:rsidRDefault="00B07E9D" w14:paraId="6A43F75B" w14:textId="00A7448B">
      <w:pPr>
        <w:spacing w:line="360" w:lineRule="auto"/>
        <w:rPr>
          <w:rFonts w:ascii="Verdana" w:hAnsi="Verdana" w:cs="Arial"/>
          <w:szCs w:val="20"/>
          <w:lang w:val="pl-PL"/>
        </w:rPr>
      </w:pPr>
      <w:r w:rsidRPr="00181B9A">
        <w:rPr>
          <w:rFonts w:ascii="Verdana" w:hAnsi="Verdana" w:cs="Arial"/>
          <w:szCs w:val="20"/>
          <w:lang w:val="pl-PL"/>
        </w:rPr>
        <w:t xml:space="preserve">Zamawiający ustalił, że </w:t>
      </w:r>
      <w:r w:rsidRPr="00181B9A" w:rsidR="003B20BB">
        <w:rPr>
          <w:rFonts w:ascii="Verdana" w:hAnsi="Verdana" w:cs="Arial"/>
          <w:szCs w:val="20"/>
          <w:lang w:val="pl-PL"/>
        </w:rPr>
        <w:t xml:space="preserve">powyższe okoliczności wypełniają dyspozycję art. 109 ust. 1 pkt 10 PZP, zgodnie z którym </w:t>
      </w:r>
      <w:r w:rsidRPr="00181B9A" w:rsidR="00181B9A">
        <w:rPr>
          <w:rFonts w:ascii="Verdana" w:hAnsi="Verdana" w:cs="Arial"/>
          <w:szCs w:val="20"/>
          <w:lang w:val="pl-PL"/>
        </w:rPr>
        <w:t>wyklucza się wykonawcę „</w:t>
      </w:r>
      <w:r w:rsidRPr="00181B9A" w:rsidR="00181B9A">
        <w:rPr>
          <w:rFonts w:ascii="Verdana" w:hAnsi="Verdana" w:cs="Arial"/>
          <w:i/>
          <w:iCs/>
          <w:szCs w:val="20"/>
          <w:lang w:val="pl-PL"/>
        </w:rPr>
        <w:t>który w wyniku lekkomyślności lub niedbalstwa przedstawił informacje wprowadzające w błąd, co mogło mieć istotny wpływ na decyzje podejmowane przez zamawiającego w postępowaniu o udzielenie zamówienia</w:t>
      </w:r>
      <w:r w:rsidRPr="00181B9A" w:rsidR="00181B9A">
        <w:rPr>
          <w:rFonts w:ascii="Verdana" w:hAnsi="Verdana" w:cs="Arial"/>
          <w:szCs w:val="20"/>
          <w:lang w:val="pl-PL"/>
        </w:rPr>
        <w:t>”.</w:t>
      </w:r>
    </w:p>
    <w:p w:rsidR="00346351" w:rsidP="00181B9A" w:rsidRDefault="003B20BB" w14:paraId="3A7F966D" w14:textId="56D6FBFC">
      <w:pPr>
        <w:spacing w:line="360" w:lineRule="auto"/>
        <w:rPr>
          <w:rFonts w:ascii="Verdana" w:hAnsi="Verdana"/>
          <w:szCs w:val="20"/>
          <w:lang w:val="pl-PL"/>
        </w:rPr>
      </w:pPr>
      <w:r>
        <w:rPr>
          <w:rFonts w:ascii="Verdana" w:hAnsi="Verdana"/>
          <w:szCs w:val="20"/>
          <w:lang w:val="pl-PL"/>
        </w:rPr>
        <w:t xml:space="preserve"> </w:t>
      </w:r>
    </w:p>
    <w:p w:rsidR="007E2DAC" w:rsidP="00181B9A" w:rsidRDefault="000165EB" w14:paraId="38CF57E7" w14:textId="7ED35A3A">
      <w:pPr>
        <w:spacing w:line="360" w:lineRule="auto"/>
        <w:rPr>
          <w:rFonts w:ascii="Verdana" w:hAnsi="Verdana"/>
          <w:szCs w:val="20"/>
          <w:lang w:val="pl-PL"/>
        </w:rPr>
      </w:pPr>
      <w:r>
        <w:rPr>
          <w:rFonts w:ascii="Verdana" w:hAnsi="Verdana"/>
          <w:szCs w:val="20"/>
          <w:lang w:val="pl-PL"/>
        </w:rPr>
        <w:t>Zarówno informacja dotycząca inwestycji nr 3 z Wykazu</w:t>
      </w:r>
      <w:r w:rsidR="00012211">
        <w:rPr>
          <w:rFonts w:ascii="Verdana" w:hAnsi="Verdana"/>
          <w:szCs w:val="20"/>
          <w:lang w:val="pl-PL"/>
        </w:rPr>
        <w:t xml:space="preserve"> osób</w:t>
      </w:r>
      <w:r>
        <w:rPr>
          <w:rFonts w:ascii="Verdana" w:hAnsi="Verdana"/>
          <w:szCs w:val="20"/>
          <w:lang w:val="pl-PL"/>
        </w:rPr>
        <w:t xml:space="preserve"> (przypisanie p. Kędziorowi 12 miesięcy pełnienia funkcji Kierownika budowy</w:t>
      </w:r>
      <w:r w:rsidR="008C271C">
        <w:rPr>
          <w:rFonts w:ascii="Verdana" w:hAnsi="Verdana"/>
          <w:szCs w:val="20"/>
          <w:lang w:val="pl-PL"/>
        </w:rPr>
        <w:t xml:space="preserve"> pomimo, iż w rzeczywistości pełnił t</w:t>
      </w:r>
      <w:r w:rsidR="00012211">
        <w:rPr>
          <w:rFonts w:ascii="Verdana" w:hAnsi="Verdana"/>
          <w:szCs w:val="20"/>
          <w:lang w:val="pl-PL"/>
        </w:rPr>
        <w:t>ę</w:t>
      </w:r>
      <w:r w:rsidR="008C271C">
        <w:rPr>
          <w:rFonts w:ascii="Verdana" w:hAnsi="Verdana"/>
          <w:szCs w:val="20"/>
          <w:lang w:val="pl-PL"/>
        </w:rPr>
        <w:t xml:space="preserve"> funkcję jedynie przez 11 miesięcy, co nie spełnia wymogów Zamawiającego</w:t>
      </w:r>
      <w:r>
        <w:rPr>
          <w:rFonts w:ascii="Verdana" w:hAnsi="Verdana"/>
          <w:szCs w:val="20"/>
          <w:lang w:val="pl-PL"/>
        </w:rPr>
        <w:t xml:space="preserve">), jak i </w:t>
      </w:r>
      <w:r w:rsidR="001168C7">
        <w:rPr>
          <w:rFonts w:ascii="Verdana" w:hAnsi="Verdana"/>
          <w:szCs w:val="20"/>
          <w:lang w:val="pl-PL"/>
        </w:rPr>
        <w:t xml:space="preserve">ta, </w:t>
      </w:r>
      <w:r>
        <w:rPr>
          <w:rFonts w:ascii="Verdana" w:hAnsi="Verdana"/>
          <w:szCs w:val="20"/>
          <w:lang w:val="pl-PL"/>
        </w:rPr>
        <w:t>dotycząca inwestycji nr 4 z Wykazu (</w:t>
      </w:r>
      <w:r w:rsidR="00E04FD5">
        <w:rPr>
          <w:rFonts w:ascii="Verdana" w:hAnsi="Verdana"/>
          <w:szCs w:val="20"/>
          <w:lang w:val="pl-PL"/>
        </w:rPr>
        <w:t xml:space="preserve">wskazanie inwestycji, w ramach której p. Kędzior </w:t>
      </w:r>
      <w:r w:rsidR="00E04FD5">
        <w:rPr>
          <w:rFonts w:ascii="Verdana" w:hAnsi="Verdana"/>
          <w:szCs w:val="20"/>
          <w:lang w:val="pl-PL"/>
        </w:rPr>
        <w:lastRenderedPageBreak/>
        <w:t xml:space="preserve">pełnił funkcję Dyrektora </w:t>
      </w:r>
      <w:r w:rsidR="00F141E1">
        <w:rPr>
          <w:rFonts w:ascii="Verdana" w:hAnsi="Verdana"/>
          <w:szCs w:val="20"/>
          <w:lang w:val="pl-PL"/>
        </w:rPr>
        <w:t>k</w:t>
      </w:r>
      <w:r w:rsidR="00E04FD5">
        <w:rPr>
          <w:rFonts w:ascii="Verdana" w:hAnsi="Verdana"/>
          <w:szCs w:val="20"/>
          <w:lang w:val="pl-PL"/>
        </w:rPr>
        <w:t>ontraktu</w:t>
      </w:r>
      <w:r w:rsidR="009A0D44">
        <w:rPr>
          <w:rFonts w:ascii="Verdana" w:hAnsi="Verdana"/>
          <w:szCs w:val="20"/>
          <w:lang w:val="pl-PL"/>
        </w:rPr>
        <w:t>, której to funkcji nie dopuszczono w SWZ</w:t>
      </w:r>
      <w:r w:rsidR="00E04FD5">
        <w:rPr>
          <w:rFonts w:ascii="Verdana" w:hAnsi="Verdana"/>
          <w:szCs w:val="20"/>
          <w:lang w:val="pl-PL"/>
        </w:rPr>
        <w:t xml:space="preserve">) </w:t>
      </w:r>
      <w:r w:rsidR="001168C7">
        <w:rPr>
          <w:rFonts w:ascii="Verdana" w:hAnsi="Verdana"/>
          <w:szCs w:val="20"/>
          <w:lang w:val="pl-PL"/>
        </w:rPr>
        <w:t xml:space="preserve">- </w:t>
      </w:r>
      <w:r w:rsidR="00E04FD5">
        <w:rPr>
          <w:rFonts w:ascii="Verdana" w:hAnsi="Verdana"/>
          <w:szCs w:val="20"/>
          <w:lang w:val="pl-PL"/>
        </w:rPr>
        <w:t>stanowi</w:t>
      </w:r>
      <w:r w:rsidR="001168C7">
        <w:rPr>
          <w:rFonts w:ascii="Verdana" w:hAnsi="Verdana"/>
          <w:szCs w:val="20"/>
          <w:lang w:val="pl-PL"/>
        </w:rPr>
        <w:t>ą</w:t>
      </w:r>
      <w:r w:rsidR="00E04FD5">
        <w:rPr>
          <w:rFonts w:ascii="Verdana" w:hAnsi="Verdana"/>
          <w:szCs w:val="20"/>
          <w:lang w:val="pl-PL"/>
        </w:rPr>
        <w:t xml:space="preserve"> informacj</w:t>
      </w:r>
      <w:r w:rsidR="001168C7">
        <w:rPr>
          <w:rFonts w:ascii="Verdana" w:hAnsi="Verdana"/>
          <w:szCs w:val="20"/>
          <w:lang w:val="pl-PL"/>
        </w:rPr>
        <w:t>e</w:t>
      </w:r>
      <w:r w:rsidR="00E04FD5">
        <w:rPr>
          <w:rFonts w:ascii="Verdana" w:hAnsi="Verdana"/>
          <w:szCs w:val="20"/>
          <w:lang w:val="pl-PL"/>
        </w:rPr>
        <w:t xml:space="preserve"> nieprawdziw</w:t>
      </w:r>
      <w:r w:rsidR="001168C7">
        <w:rPr>
          <w:rFonts w:ascii="Verdana" w:hAnsi="Verdana"/>
          <w:szCs w:val="20"/>
          <w:lang w:val="pl-PL"/>
        </w:rPr>
        <w:t>e</w:t>
      </w:r>
      <w:r w:rsidR="00E04FD5">
        <w:rPr>
          <w:rFonts w:ascii="Verdana" w:hAnsi="Verdana"/>
          <w:szCs w:val="20"/>
          <w:lang w:val="pl-PL"/>
        </w:rPr>
        <w:t>, sprzeczn</w:t>
      </w:r>
      <w:r w:rsidR="001168C7">
        <w:rPr>
          <w:rFonts w:ascii="Verdana" w:hAnsi="Verdana"/>
          <w:szCs w:val="20"/>
          <w:lang w:val="pl-PL"/>
        </w:rPr>
        <w:t>e</w:t>
      </w:r>
      <w:r w:rsidR="00E04FD5">
        <w:rPr>
          <w:rFonts w:ascii="Verdana" w:hAnsi="Verdana"/>
          <w:szCs w:val="20"/>
          <w:lang w:val="pl-PL"/>
        </w:rPr>
        <w:t xml:space="preserve"> z obiektywnym stanem faktycznym.</w:t>
      </w:r>
    </w:p>
    <w:p w:rsidR="00EC789B" w:rsidP="00181B9A" w:rsidRDefault="00EC789B" w14:paraId="5EF6A485" w14:textId="371266B9">
      <w:pPr>
        <w:spacing w:line="360" w:lineRule="auto"/>
        <w:rPr>
          <w:rFonts w:ascii="Verdana" w:hAnsi="Verdana"/>
          <w:szCs w:val="20"/>
          <w:lang w:val="pl-PL"/>
        </w:rPr>
      </w:pPr>
    </w:p>
    <w:p w:rsidR="005B4BC9" w:rsidP="00181B9A" w:rsidRDefault="00122A69" w14:paraId="0AE6CC59" w14:textId="550520B2">
      <w:pPr>
        <w:spacing w:line="360" w:lineRule="auto"/>
        <w:rPr>
          <w:rFonts w:ascii="Verdana" w:hAnsi="Verdana"/>
          <w:szCs w:val="20"/>
          <w:lang w:val="pl-PL"/>
        </w:rPr>
      </w:pPr>
      <w:r>
        <w:rPr>
          <w:rFonts w:ascii="Verdana" w:hAnsi="Verdana"/>
          <w:szCs w:val="20"/>
          <w:lang w:val="pl-PL"/>
        </w:rPr>
        <w:t xml:space="preserve">Podanie takich informacji przez </w:t>
      </w:r>
      <w:r w:rsidR="00627AF4">
        <w:rPr>
          <w:rFonts w:ascii="Verdana" w:hAnsi="Verdana"/>
          <w:szCs w:val="20"/>
          <w:lang w:val="pl-PL"/>
        </w:rPr>
        <w:t>w</w:t>
      </w:r>
      <w:r w:rsidR="001168C7">
        <w:rPr>
          <w:rFonts w:ascii="Verdana" w:hAnsi="Verdana"/>
          <w:szCs w:val="20"/>
          <w:lang w:val="pl-PL"/>
        </w:rPr>
        <w:t xml:space="preserve">ykonawcę </w:t>
      </w:r>
      <w:r>
        <w:rPr>
          <w:rFonts w:ascii="Verdana" w:hAnsi="Verdana"/>
          <w:szCs w:val="20"/>
          <w:lang w:val="pl-PL"/>
        </w:rPr>
        <w:t xml:space="preserve">stanowi </w:t>
      </w:r>
      <w:r w:rsidR="00B85CEC">
        <w:rPr>
          <w:rFonts w:ascii="Verdana" w:hAnsi="Verdana"/>
          <w:szCs w:val="20"/>
          <w:lang w:val="pl-PL"/>
        </w:rPr>
        <w:t>c</w:t>
      </w:r>
      <w:r>
        <w:rPr>
          <w:rFonts w:ascii="Verdana" w:hAnsi="Verdana"/>
          <w:szCs w:val="20"/>
          <w:lang w:val="pl-PL"/>
        </w:rPr>
        <w:t xml:space="preserve">o </w:t>
      </w:r>
      <w:r w:rsidR="00B85CEC">
        <w:rPr>
          <w:rFonts w:ascii="Verdana" w:hAnsi="Verdana"/>
          <w:szCs w:val="20"/>
          <w:lang w:val="pl-PL"/>
        </w:rPr>
        <w:t xml:space="preserve">najmniej o </w:t>
      </w:r>
      <w:r>
        <w:rPr>
          <w:rFonts w:ascii="Verdana" w:hAnsi="Verdana"/>
          <w:szCs w:val="20"/>
          <w:lang w:val="pl-PL"/>
        </w:rPr>
        <w:t>jego lekkomyślności i niedbalstwie.</w:t>
      </w:r>
      <w:r w:rsidR="005B4BC9">
        <w:rPr>
          <w:rFonts w:ascii="Verdana" w:hAnsi="Verdana"/>
          <w:szCs w:val="20"/>
          <w:lang w:val="pl-PL"/>
        </w:rPr>
        <w:t xml:space="preserve"> </w:t>
      </w:r>
      <w:r w:rsidR="00F141E1">
        <w:rPr>
          <w:rFonts w:ascii="Verdana" w:hAnsi="Verdana"/>
          <w:szCs w:val="20"/>
          <w:lang w:val="pl-PL"/>
        </w:rPr>
        <w:t>W</w:t>
      </w:r>
      <w:r w:rsidR="007165E7">
        <w:rPr>
          <w:rFonts w:ascii="Verdana" w:hAnsi="Verdana"/>
          <w:szCs w:val="20"/>
          <w:lang w:val="pl-PL"/>
        </w:rPr>
        <w:t>szelkie informacje, które przekazywane są przez wykonawcę w ramach postępowania przetargowego podle</w:t>
      </w:r>
      <w:r w:rsidR="009A71C1">
        <w:rPr>
          <w:rFonts w:ascii="Verdana" w:hAnsi="Verdana"/>
          <w:szCs w:val="20"/>
          <w:lang w:val="pl-PL"/>
        </w:rPr>
        <w:t>gać muszą szczegółowej weryfikacji</w:t>
      </w:r>
      <w:r w:rsidR="00F85045">
        <w:rPr>
          <w:rFonts w:ascii="Verdana" w:hAnsi="Verdana"/>
          <w:szCs w:val="20"/>
          <w:lang w:val="pl-PL"/>
        </w:rPr>
        <w:t xml:space="preserve">. </w:t>
      </w:r>
      <w:r w:rsidRPr="00F85045" w:rsidR="00F85045">
        <w:rPr>
          <w:rFonts w:ascii="Verdana" w:hAnsi="Verdana"/>
          <w:szCs w:val="20"/>
          <w:lang w:val="pl-PL"/>
        </w:rPr>
        <w:t>Należyta starannoś</w:t>
      </w:r>
      <w:r w:rsidR="00F85045">
        <w:rPr>
          <w:rFonts w:ascii="Verdana" w:hAnsi="Verdana"/>
          <w:szCs w:val="20"/>
          <w:lang w:val="pl-PL"/>
        </w:rPr>
        <w:t>ć</w:t>
      </w:r>
      <w:r w:rsidRPr="00F85045" w:rsidR="00F85045">
        <w:rPr>
          <w:rFonts w:ascii="Verdana" w:hAnsi="Verdana"/>
          <w:szCs w:val="20"/>
          <w:lang w:val="pl-PL"/>
        </w:rPr>
        <w:t xml:space="preserve"> </w:t>
      </w:r>
      <w:r w:rsidR="00AF5A1B">
        <w:rPr>
          <w:rFonts w:ascii="Verdana" w:hAnsi="Verdana"/>
          <w:szCs w:val="20"/>
          <w:lang w:val="pl-PL"/>
        </w:rPr>
        <w:t>po</w:t>
      </w:r>
      <w:r w:rsidRPr="00F85045" w:rsidR="00F85045">
        <w:rPr>
          <w:rFonts w:ascii="Verdana" w:hAnsi="Verdana"/>
          <w:szCs w:val="20"/>
          <w:lang w:val="pl-PL"/>
        </w:rPr>
        <w:t>winna się też przejawiać w rzetelnej analizie SWZ</w:t>
      </w:r>
      <w:r w:rsidR="005B4BC9">
        <w:rPr>
          <w:rFonts w:ascii="Verdana" w:hAnsi="Verdana"/>
          <w:szCs w:val="20"/>
          <w:lang w:val="pl-PL"/>
        </w:rPr>
        <w:t>.</w:t>
      </w:r>
    </w:p>
    <w:p w:rsidR="00F85045" w:rsidP="00181B9A" w:rsidRDefault="00F85045" w14:paraId="487AA765" w14:textId="053CDC94">
      <w:pPr>
        <w:spacing w:line="360" w:lineRule="auto"/>
        <w:rPr>
          <w:rFonts w:ascii="Verdana" w:hAnsi="Verdana"/>
          <w:szCs w:val="20"/>
          <w:lang w:val="pl-PL"/>
        </w:rPr>
      </w:pPr>
      <w:r w:rsidRPr="00F85045">
        <w:rPr>
          <w:rFonts w:ascii="Verdana" w:hAnsi="Verdana"/>
          <w:szCs w:val="20"/>
          <w:lang w:val="pl-PL"/>
        </w:rPr>
        <w:t xml:space="preserve"> </w:t>
      </w:r>
    </w:p>
    <w:p w:rsidR="000D6059" w:rsidP="00181B9A" w:rsidRDefault="009A71C1" w14:paraId="1DE366BB" w14:textId="1ED52565">
      <w:pPr>
        <w:spacing w:line="360" w:lineRule="auto"/>
        <w:rPr>
          <w:rFonts w:ascii="Verdana" w:hAnsi="Verdana"/>
          <w:szCs w:val="20"/>
          <w:lang w:val="pl-PL"/>
        </w:rPr>
      </w:pPr>
      <w:r>
        <w:rPr>
          <w:rFonts w:ascii="Verdana" w:hAnsi="Verdana"/>
          <w:szCs w:val="20"/>
          <w:lang w:val="pl-PL"/>
        </w:rPr>
        <w:t>Tymczasem z okoliczności zaistniałych w niniejszej sprawie wynika, że takie</w:t>
      </w:r>
      <w:r w:rsidR="00B85CEC">
        <w:rPr>
          <w:rFonts w:ascii="Verdana" w:hAnsi="Verdana"/>
          <w:szCs w:val="20"/>
          <w:lang w:val="pl-PL"/>
        </w:rPr>
        <w:t>j</w:t>
      </w:r>
      <w:r>
        <w:rPr>
          <w:rFonts w:ascii="Verdana" w:hAnsi="Verdana"/>
          <w:szCs w:val="20"/>
          <w:lang w:val="pl-PL"/>
        </w:rPr>
        <w:t xml:space="preserve"> weryfikacji wykonawca zaniechał</w:t>
      </w:r>
      <w:r w:rsidR="000D6059">
        <w:rPr>
          <w:rFonts w:ascii="Verdana" w:hAnsi="Verdana"/>
          <w:szCs w:val="20"/>
          <w:lang w:val="pl-PL"/>
        </w:rPr>
        <w:t>, w szczególności bazując na ustnych</w:t>
      </w:r>
      <w:r w:rsidR="003709C3">
        <w:rPr>
          <w:rFonts w:ascii="Verdana" w:hAnsi="Verdana"/>
          <w:szCs w:val="20"/>
          <w:lang w:val="pl-PL"/>
        </w:rPr>
        <w:t xml:space="preserve">, </w:t>
      </w:r>
      <w:r w:rsidR="000D6059">
        <w:rPr>
          <w:rFonts w:ascii="Verdana" w:hAnsi="Verdana"/>
          <w:szCs w:val="20"/>
          <w:lang w:val="pl-PL"/>
        </w:rPr>
        <w:t>niesprawdzonych</w:t>
      </w:r>
      <w:r w:rsidR="003709C3">
        <w:rPr>
          <w:rFonts w:ascii="Verdana" w:hAnsi="Verdana"/>
          <w:szCs w:val="20"/>
          <w:lang w:val="pl-PL"/>
        </w:rPr>
        <w:t xml:space="preserve"> i nieznajdujących potwierdzenia w jakichkolwiek dokumentach,</w:t>
      </w:r>
      <w:r w:rsidR="000D6059">
        <w:rPr>
          <w:rFonts w:ascii="Verdana" w:hAnsi="Verdana"/>
          <w:szCs w:val="20"/>
          <w:lang w:val="pl-PL"/>
        </w:rPr>
        <w:t xml:space="preserve"> informacjach</w:t>
      </w:r>
      <w:r w:rsidR="008C271C">
        <w:rPr>
          <w:rFonts w:ascii="Verdana" w:hAnsi="Verdana"/>
          <w:szCs w:val="20"/>
          <w:lang w:val="pl-PL"/>
        </w:rPr>
        <w:t>.</w:t>
      </w:r>
    </w:p>
    <w:p w:rsidR="00306286" w:rsidP="00181B9A" w:rsidRDefault="00306286" w14:paraId="69D19F09" w14:textId="77777777">
      <w:pPr>
        <w:spacing w:line="360" w:lineRule="auto"/>
        <w:rPr>
          <w:rFonts w:ascii="Verdana" w:hAnsi="Verdana"/>
          <w:szCs w:val="20"/>
          <w:lang w:val="pl-PL"/>
        </w:rPr>
      </w:pPr>
    </w:p>
    <w:p w:rsidR="00B13FD2" w:rsidP="00181B9A" w:rsidRDefault="00B13FD2" w14:paraId="51F5125E" w14:textId="394E2F6D">
      <w:pPr>
        <w:spacing w:line="360" w:lineRule="auto"/>
        <w:rPr>
          <w:rFonts w:ascii="Verdana" w:hAnsi="Verdana"/>
          <w:szCs w:val="20"/>
          <w:lang w:val="pl-PL"/>
        </w:rPr>
      </w:pPr>
      <w:r w:rsidRPr="00C918B4">
        <w:rPr>
          <w:rFonts w:ascii="Verdana" w:hAnsi="Verdana"/>
          <w:szCs w:val="20"/>
          <w:lang w:val="pl-PL"/>
        </w:rPr>
        <w:t xml:space="preserve">Bezsporne jest również, że nieprawdziwe informacje, którymi posłużył się wykonawca w złożonej ofercie mogły wprowadzić </w:t>
      </w:r>
      <w:r w:rsidR="00FA19C0">
        <w:rPr>
          <w:rFonts w:ascii="Verdana" w:hAnsi="Verdana"/>
          <w:szCs w:val="20"/>
          <w:lang w:val="pl-PL"/>
        </w:rPr>
        <w:t>Z</w:t>
      </w:r>
      <w:r w:rsidRPr="00C918B4">
        <w:rPr>
          <w:rFonts w:ascii="Verdana" w:hAnsi="Verdana"/>
          <w:szCs w:val="20"/>
          <w:lang w:val="pl-PL"/>
        </w:rPr>
        <w:t>amawiającego w błąd</w:t>
      </w:r>
      <w:r w:rsidR="000A5FCD">
        <w:rPr>
          <w:rFonts w:ascii="Verdana" w:hAnsi="Verdana"/>
          <w:szCs w:val="20"/>
          <w:lang w:val="pl-PL"/>
        </w:rPr>
        <w:t xml:space="preserve">. Ponadto skoro </w:t>
      </w:r>
      <w:r w:rsidRPr="00C918B4" w:rsidR="00C918B4">
        <w:rPr>
          <w:rFonts w:ascii="Verdana" w:hAnsi="Verdana"/>
          <w:szCs w:val="20"/>
          <w:lang w:val="pl-PL"/>
        </w:rPr>
        <w:t xml:space="preserve">nieprawdziwe informacje dotyczyły okoliczności ocenianych w ramach kryteriów oceny ofert, to niewątpliwie </w:t>
      </w:r>
      <w:r w:rsidRPr="00647CCA" w:rsidR="00C918B4">
        <w:rPr>
          <w:rFonts w:ascii="Verdana" w:hAnsi="Verdana" w:cs="Arial"/>
          <w:szCs w:val="20"/>
          <w:lang w:val="pl-PL"/>
        </w:rPr>
        <w:t xml:space="preserve">mogło to mieć istotny wpływ na decyzje podejmowane przez </w:t>
      </w:r>
      <w:r w:rsidR="00FA19C0">
        <w:rPr>
          <w:rFonts w:ascii="Verdana" w:hAnsi="Verdana" w:cs="Arial"/>
          <w:szCs w:val="20"/>
          <w:lang w:val="pl-PL"/>
        </w:rPr>
        <w:t>Z</w:t>
      </w:r>
      <w:r w:rsidRPr="00647CCA" w:rsidR="00C918B4">
        <w:rPr>
          <w:rFonts w:ascii="Verdana" w:hAnsi="Verdana" w:cs="Arial"/>
          <w:szCs w:val="20"/>
          <w:lang w:val="pl-PL"/>
        </w:rPr>
        <w:t xml:space="preserve">amawiającego w postępowaniu, </w:t>
      </w:r>
      <w:r w:rsidRPr="00C918B4">
        <w:rPr>
          <w:rFonts w:ascii="Verdana" w:hAnsi="Verdana"/>
          <w:szCs w:val="20"/>
          <w:lang w:val="pl-PL"/>
        </w:rPr>
        <w:t xml:space="preserve">a przez to doprowadzić do udzielenia zamówienia wykonawcy, którego oferta nie jest najkorzystniejsza. </w:t>
      </w:r>
      <w:r>
        <w:rPr>
          <w:rFonts w:ascii="Verdana" w:hAnsi="Verdana"/>
          <w:szCs w:val="20"/>
          <w:lang w:val="pl-PL"/>
        </w:rPr>
        <w:t>Tym samym spełniły się wszystkie przesłanki, o których mowa w art. 109 ust. 1 pkt 10 PZP.</w:t>
      </w:r>
    </w:p>
    <w:p w:rsidR="00B13FD2" w:rsidP="00181B9A" w:rsidRDefault="00B13FD2" w14:paraId="28C6151C" w14:textId="77777777">
      <w:pPr>
        <w:spacing w:line="360" w:lineRule="auto"/>
        <w:rPr>
          <w:rFonts w:ascii="Verdana" w:hAnsi="Verdana"/>
          <w:szCs w:val="20"/>
          <w:lang w:val="pl-PL"/>
        </w:rPr>
      </w:pPr>
    </w:p>
    <w:p w:rsidR="000A33D6" w:rsidP="000A33D6" w:rsidRDefault="00B13FD2" w14:paraId="4BB1A75A" w14:textId="7AA5E3C9">
      <w:pPr>
        <w:spacing w:line="360" w:lineRule="auto"/>
        <w:rPr>
          <w:rFonts w:ascii="Verdana" w:hAnsi="Verdana"/>
          <w:szCs w:val="20"/>
          <w:lang w:val="pl-PL"/>
        </w:rPr>
      </w:pPr>
      <w:r>
        <w:rPr>
          <w:rFonts w:ascii="Verdana" w:hAnsi="Verdana"/>
          <w:szCs w:val="20"/>
          <w:lang w:val="pl-PL"/>
        </w:rPr>
        <w:t xml:space="preserve">Ponadto </w:t>
      </w:r>
      <w:r w:rsidR="007F2401">
        <w:rPr>
          <w:rFonts w:ascii="Verdana" w:hAnsi="Verdana"/>
          <w:szCs w:val="20"/>
          <w:lang w:val="pl-PL"/>
        </w:rPr>
        <w:t>Z</w:t>
      </w:r>
      <w:r>
        <w:rPr>
          <w:rFonts w:ascii="Verdana" w:hAnsi="Verdana"/>
          <w:szCs w:val="20"/>
          <w:lang w:val="pl-PL"/>
        </w:rPr>
        <w:t xml:space="preserve">amawiający wskazuje, że </w:t>
      </w:r>
      <w:r w:rsidR="008734DD">
        <w:rPr>
          <w:rFonts w:ascii="Verdana" w:hAnsi="Verdana"/>
          <w:szCs w:val="20"/>
          <w:lang w:val="pl-PL"/>
        </w:rPr>
        <w:t xml:space="preserve">nie wziął pod uwagę </w:t>
      </w:r>
      <w:r w:rsidRPr="008734DD" w:rsidR="008734DD">
        <w:rPr>
          <w:rFonts w:ascii="Verdana" w:hAnsi="Verdana"/>
          <w:i/>
          <w:iCs/>
          <w:szCs w:val="20"/>
          <w:lang w:val="pl-PL"/>
        </w:rPr>
        <w:t>self-cleaningu</w:t>
      </w:r>
      <w:r w:rsidR="008734DD">
        <w:rPr>
          <w:rFonts w:ascii="Verdana" w:hAnsi="Verdana"/>
          <w:szCs w:val="20"/>
          <w:lang w:val="pl-PL"/>
        </w:rPr>
        <w:t xml:space="preserve">, który </w:t>
      </w:r>
      <w:r w:rsidR="00FA19C0">
        <w:rPr>
          <w:rFonts w:ascii="Verdana" w:hAnsi="Verdana"/>
          <w:szCs w:val="20"/>
          <w:lang w:val="pl-PL"/>
        </w:rPr>
        <w:t xml:space="preserve">Wykonawca </w:t>
      </w:r>
      <w:r w:rsidR="008734DD">
        <w:rPr>
          <w:rFonts w:ascii="Verdana" w:hAnsi="Verdana"/>
          <w:szCs w:val="20"/>
          <w:lang w:val="pl-PL"/>
        </w:rPr>
        <w:t>przeprowadził</w:t>
      </w:r>
      <w:r w:rsidR="00FA19C0">
        <w:rPr>
          <w:rFonts w:ascii="Verdana" w:hAnsi="Verdana"/>
          <w:szCs w:val="20"/>
          <w:lang w:val="pl-PL"/>
        </w:rPr>
        <w:t xml:space="preserve"> </w:t>
      </w:r>
      <w:r w:rsidR="007F2401">
        <w:rPr>
          <w:rFonts w:ascii="Verdana" w:hAnsi="Verdana"/>
          <w:szCs w:val="20"/>
          <w:lang w:val="pl-PL"/>
        </w:rPr>
        <w:t xml:space="preserve">niejako „z ostrożności” </w:t>
      </w:r>
      <w:r w:rsidR="00FA19C0">
        <w:rPr>
          <w:rFonts w:ascii="Verdana" w:hAnsi="Verdana"/>
          <w:szCs w:val="20"/>
          <w:lang w:val="pl-PL"/>
        </w:rPr>
        <w:t>na etapie wyjaśniania treści oferty</w:t>
      </w:r>
      <w:r w:rsidR="008734DD">
        <w:rPr>
          <w:rFonts w:ascii="Verdana" w:hAnsi="Verdana"/>
          <w:szCs w:val="20"/>
          <w:lang w:val="pl-PL"/>
        </w:rPr>
        <w:t>.</w:t>
      </w:r>
      <w:r w:rsidR="00473846">
        <w:rPr>
          <w:rFonts w:ascii="Verdana" w:hAnsi="Verdana"/>
          <w:szCs w:val="20"/>
          <w:lang w:val="pl-PL"/>
        </w:rPr>
        <w:t xml:space="preserve"> </w:t>
      </w:r>
      <w:r w:rsidR="00EA3799">
        <w:rPr>
          <w:rFonts w:ascii="Verdana" w:hAnsi="Verdana"/>
          <w:szCs w:val="20"/>
          <w:lang w:val="pl-PL"/>
        </w:rPr>
        <w:t>Z</w:t>
      </w:r>
      <w:r w:rsidR="001D01A7">
        <w:rPr>
          <w:rFonts w:ascii="Verdana" w:hAnsi="Verdana"/>
          <w:szCs w:val="20"/>
          <w:lang w:val="pl-PL"/>
        </w:rPr>
        <w:t xml:space="preserve">a niedopuszczalne uznać należy </w:t>
      </w:r>
      <w:r w:rsidR="009F239A">
        <w:rPr>
          <w:rFonts w:ascii="Verdana" w:hAnsi="Verdana"/>
          <w:szCs w:val="20"/>
          <w:lang w:val="pl-PL"/>
        </w:rPr>
        <w:t xml:space="preserve">dokonywanie samooczyszczenia w tym samym postępowaniu, w ramach którego doszło do podania nieprawdziwej informacji wprowadzającej </w:t>
      </w:r>
      <w:r w:rsidR="00567A0B">
        <w:rPr>
          <w:rFonts w:ascii="Verdana" w:hAnsi="Verdana"/>
          <w:szCs w:val="20"/>
          <w:lang w:val="pl-PL"/>
        </w:rPr>
        <w:t>Z</w:t>
      </w:r>
      <w:r w:rsidR="009F239A">
        <w:rPr>
          <w:rFonts w:ascii="Verdana" w:hAnsi="Verdana"/>
          <w:szCs w:val="20"/>
          <w:lang w:val="pl-PL"/>
        </w:rPr>
        <w:t xml:space="preserve">amawiającego w błąd. </w:t>
      </w:r>
      <w:r w:rsidR="00832D78">
        <w:rPr>
          <w:rFonts w:ascii="Verdana" w:hAnsi="Verdana"/>
          <w:szCs w:val="20"/>
          <w:lang w:val="pl-PL"/>
        </w:rPr>
        <w:t xml:space="preserve">Dodatkowo </w:t>
      </w:r>
      <w:r w:rsidR="009D544A">
        <w:rPr>
          <w:rFonts w:ascii="Verdana" w:hAnsi="Verdana"/>
          <w:szCs w:val="20"/>
          <w:lang w:val="pl-PL"/>
        </w:rPr>
        <w:t>podkreślić</w:t>
      </w:r>
      <w:r w:rsidR="00832D78">
        <w:rPr>
          <w:rFonts w:ascii="Verdana" w:hAnsi="Verdana"/>
          <w:szCs w:val="20"/>
          <w:lang w:val="pl-PL"/>
        </w:rPr>
        <w:t xml:space="preserve"> należy, że dla skuteczności procedury samooczyszczenia niezbędne jest stwierdzenia ziszczenia się </w:t>
      </w:r>
      <w:r w:rsidR="00FC7C9B">
        <w:rPr>
          <w:rFonts w:ascii="Verdana" w:hAnsi="Verdana"/>
          <w:szCs w:val="20"/>
          <w:lang w:val="pl-PL"/>
        </w:rPr>
        <w:t xml:space="preserve">łącznie </w:t>
      </w:r>
      <w:r w:rsidR="00832D78">
        <w:rPr>
          <w:rFonts w:ascii="Verdana" w:hAnsi="Verdana"/>
          <w:szCs w:val="20"/>
          <w:lang w:val="pl-PL"/>
        </w:rPr>
        <w:t>w</w:t>
      </w:r>
      <w:r w:rsidR="00FC7C9B">
        <w:rPr>
          <w:rFonts w:ascii="Verdana" w:hAnsi="Verdana"/>
          <w:szCs w:val="20"/>
          <w:lang w:val="pl-PL"/>
        </w:rPr>
        <w:t>szystkich przesłanek, o których mowa w art. 110 ust. 2 PZP.</w:t>
      </w:r>
      <w:r w:rsidR="00D7492B">
        <w:rPr>
          <w:rFonts w:ascii="Verdana" w:hAnsi="Verdana"/>
          <w:szCs w:val="20"/>
          <w:lang w:val="pl-PL"/>
        </w:rPr>
        <w:t xml:space="preserve"> </w:t>
      </w:r>
      <w:r w:rsidR="00832D78">
        <w:rPr>
          <w:rFonts w:ascii="Verdana" w:hAnsi="Verdana"/>
          <w:szCs w:val="20"/>
          <w:lang w:val="pl-PL"/>
        </w:rPr>
        <w:t xml:space="preserve">W zaistniałej sytuacji żadne z </w:t>
      </w:r>
      <w:r w:rsidR="00FC7C9B">
        <w:rPr>
          <w:rFonts w:ascii="Verdana" w:hAnsi="Verdana"/>
          <w:szCs w:val="20"/>
          <w:lang w:val="pl-PL"/>
        </w:rPr>
        <w:t xml:space="preserve">wymagań warunkujących prawidłowość procedury </w:t>
      </w:r>
      <w:r w:rsidRPr="00FC7C9B" w:rsidR="00FC7C9B">
        <w:rPr>
          <w:rFonts w:ascii="Verdana" w:hAnsi="Verdana"/>
          <w:i/>
          <w:iCs/>
          <w:szCs w:val="20"/>
          <w:lang w:val="pl-PL"/>
        </w:rPr>
        <w:t xml:space="preserve">self-cleaningu </w:t>
      </w:r>
      <w:r w:rsidR="00FC7C9B">
        <w:rPr>
          <w:rFonts w:ascii="Verdana" w:hAnsi="Verdana"/>
          <w:szCs w:val="20"/>
          <w:lang w:val="pl-PL"/>
        </w:rPr>
        <w:t>nie zostało spełnione.</w:t>
      </w:r>
    </w:p>
    <w:p w:rsidR="00FC7C9B" w:rsidP="000A33D6" w:rsidRDefault="00FC7C9B" w14:paraId="3FFC23DC" w14:textId="3CA6B95D">
      <w:pPr>
        <w:spacing w:line="360" w:lineRule="auto"/>
        <w:rPr>
          <w:rFonts w:ascii="Verdana" w:hAnsi="Verdana"/>
          <w:szCs w:val="20"/>
          <w:lang w:val="pl-PL"/>
        </w:rPr>
      </w:pPr>
    </w:p>
    <w:p w:rsidR="00D7492B" w:rsidP="000A33D6" w:rsidRDefault="00D7492B" w14:paraId="632205E4" w14:textId="5F862652">
      <w:pPr>
        <w:spacing w:line="360" w:lineRule="auto"/>
        <w:rPr>
          <w:rFonts w:ascii="Verdana" w:hAnsi="Verdana"/>
          <w:szCs w:val="20"/>
          <w:lang w:val="pl-PL"/>
        </w:rPr>
      </w:pPr>
      <w:r>
        <w:rPr>
          <w:rFonts w:ascii="Verdana" w:hAnsi="Verdana"/>
          <w:szCs w:val="20"/>
          <w:lang w:val="pl-PL"/>
        </w:rPr>
        <w:t xml:space="preserve">Odrzucenie oferty </w:t>
      </w:r>
      <w:r w:rsidR="00DA1BAC">
        <w:rPr>
          <w:rFonts w:ascii="Verdana" w:hAnsi="Verdana"/>
          <w:szCs w:val="20"/>
          <w:lang w:val="pl-PL"/>
        </w:rPr>
        <w:t>złożonej przez wykonawcę Bystrzak sp. z o.o. jest zatem uzasadnione.</w:t>
      </w:r>
    </w:p>
    <w:p w:rsidR="00D7492B" w:rsidP="000A33D6" w:rsidRDefault="00D7492B" w14:paraId="488C8647" w14:textId="77777777">
      <w:pPr>
        <w:spacing w:line="360" w:lineRule="auto"/>
        <w:rPr>
          <w:rFonts w:ascii="Verdana" w:hAnsi="Verdana"/>
          <w:szCs w:val="20"/>
          <w:lang w:val="pl-PL"/>
        </w:rPr>
      </w:pPr>
    </w:p>
    <w:p w:rsidR="004917D0" w:rsidP="000A33D6" w:rsidRDefault="004917D0" w14:paraId="152C92A9" w14:textId="77777777">
      <w:pPr>
        <w:spacing w:line="360" w:lineRule="auto"/>
        <w:rPr>
          <w:rFonts w:ascii="Verdana" w:hAnsi="Verdana"/>
          <w:szCs w:val="20"/>
          <w:lang w:val="pl-PL"/>
        </w:rPr>
      </w:pPr>
    </w:p>
    <w:p w:rsidRPr="00FC7C9B" w:rsidR="00FC7C9B" w:rsidP="00FC7C9B" w:rsidRDefault="00FC7C9B" w14:paraId="2134A59F" w14:textId="77777777">
      <w:pPr>
        <w:spacing w:line="360" w:lineRule="auto"/>
        <w:ind w:left="6237"/>
        <w:rPr>
          <w:rFonts w:ascii="Verdana" w:hAnsi="Verdana" w:cs="Arial"/>
          <w:i/>
          <w:szCs w:val="20"/>
          <w:lang w:val="pl-PL"/>
        </w:rPr>
      </w:pPr>
      <w:r w:rsidRPr="00FC7C9B">
        <w:rPr>
          <w:rFonts w:ascii="Verdana" w:hAnsi="Verdana" w:cs="Arial"/>
          <w:i/>
          <w:szCs w:val="20"/>
          <w:lang w:val="pl-PL"/>
        </w:rPr>
        <w:t>Tymoteusz Kot</w:t>
      </w:r>
    </w:p>
    <w:p w:rsidRPr="00FC7C9B" w:rsidR="00FC7C9B" w:rsidP="00FC7C9B" w:rsidRDefault="00FC7C9B" w14:paraId="7BC28067" w14:textId="77777777">
      <w:pPr>
        <w:spacing w:line="360" w:lineRule="auto"/>
        <w:ind w:left="6237"/>
        <w:rPr>
          <w:rFonts w:ascii="Verdana" w:hAnsi="Verdana" w:cs="Arial"/>
          <w:i/>
          <w:szCs w:val="20"/>
          <w:lang w:val="pl-PL"/>
        </w:rPr>
      </w:pPr>
      <w:r w:rsidRPr="00FC7C9B">
        <w:rPr>
          <w:rFonts w:ascii="Verdana" w:hAnsi="Verdana" w:cs="Arial"/>
          <w:i/>
          <w:szCs w:val="20"/>
          <w:lang w:val="pl-PL"/>
        </w:rPr>
        <w:t xml:space="preserve">Dyrektor Rejonu w Fikołowie </w:t>
      </w:r>
    </w:p>
    <w:p w:rsidRPr="00BF1F31" w:rsidR="000A33D6" w:rsidP="00181B9A" w:rsidRDefault="000A33D6" w14:paraId="338EE24B" w14:textId="4F9EFBF4">
      <w:pPr>
        <w:spacing w:line="360" w:lineRule="auto"/>
        <w:rPr>
          <w:rFonts w:ascii="Verdana" w:hAnsi="Verdana"/>
          <w:szCs w:val="20"/>
          <w:lang w:val="pl-PL"/>
        </w:rPr>
      </w:pPr>
    </w:p>
    <w:sectPr w:rsidRPr="00BF1F31" w:rsidR="000A33D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3182A" w:rsidP="00035EC5" w:rsidRDefault="0073182A" w14:paraId="2C8E042F" w14:textId="77777777">
      <w:r>
        <w:separator/>
      </w:r>
    </w:p>
  </w:endnote>
  <w:endnote w:type="continuationSeparator" w:id="0">
    <w:p w:rsidR="0073182A" w:rsidP="00035EC5" w:rsidRDefault="0073182A" w14:paraId="31922A6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okChampa">
    <w:altName w:val="Arial Unicode MS"/>
    <w:charset w:val="DE"/>
    <w:family w:val="swiss"/>
    <w:pitch w:val="variable"/>
    <w:sig w:usb0="83000003" w:usb1="00000000" w:usb2="00000000" w:usb3="00000000" w:csb0="0001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3578627"/>
      <w:docPartObj>
        <w:docPartGallery w:val="Page Numbers (Bottom of Page)"/>
        <w:docPartUnique/>
      </w:docPartObj>
    </w:sdtPr>
    <w:sdtContent>
      <w:p w:rsidR="00035EC5" w:rsidRDefault="00035EC5" w14:paraId="7A420B37" w14:textId="0B0227F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:rsidR="00035EC5" w:rsidRDefault="00035EC5" w14:paraId="17C1D592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3182A" w:rsidP="00035EC5" w:rsidRDefault="0073182A" w14:paraId="398EC78E" w14:textId="77777777">
      <w:r>
        <w:separator/>
      </w:r>
    </w:p>
  </w:footnote>
  <w:footnote w:type="continuationSeparator" w:id="0">
    <w:p w:rsidR="0073182A" w:rsidP="00035EC5" w:rsidRDefault="0073182A" w14:paraId="1B73F781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FB6468"/>
    <w:multiLevelType w:val="hybridMultilevel"/>
    <w:tmpl w:val="97C012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D800C6"/>
    <w:multiLevelType w:val="hybridMultilevel"/>
    <w:tmpl w:val="1BDC4C54"/>
    <w:lvl w:ilvl="0" w:tplc="A0BCD4B0">
      <w:start w:val="1"/>
      <w:numFmt w:val="lowerLetter"/>
      <w:lvlText w:val="%1)"/>
      <w:lvlJc w:val="left"/>
      <w:pPr>
        <w:ind w:left="1437" w:hanging="360"/>
      </w:pPr>
      <w:rPr>
        <w:rFonts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num w:numId="1" w16cid:durableId="907764155">
    <w:abstractNumId w:val="0"/>
  </w:num>
  <w:num w:numId="2" w16cid:durableId="921067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8AE"/>
    <w:rsid w:val="00012211"/>
    <w:rsid w:val="000165EB"/>
    <w:rsid w:val="0001719D"/>
    <w:rsid w:val="00035EC5"/>
    <w:rsid w:val="00053ABB"/>
    <w:rsid w:val="00074A49"/>
    <w:rsid w:val="00075376"/>
    <w:rsid w:val="0007605A"/>
    <w:rsid w:val="00084966"/>
    <w:rsid w:val="0009219C"/>
    <w:rsid w:val="000A01E1"/>
    <w:rsid w:val="000A33D6"/>
    <w:rsid w:val="000A5FCD"/>
    <w:rsid w:val="000B4619"/>
    <w:rsid w:val="000D6059"/>
    <w:rsid w:val="000E5A66"/>
    <w:rsid w:val="000F1C25"/>
    <w:rsid w:val="000F2846"/>
    <w:rsid w:val="001168C7"/>
    <w:rsid w:val="00122A69"/>
    <w:rsid w:val="00134ED6"/>
    <w:rsid w:val="00181B9A"/>
    <w:rsid w:val="0019276E"/>
    <w:rsid w:val="0019543B"/>
    <w:rsid w:val="001D01A7"/>
    <w:rsid w:val="001E2A2E"/>
    <w:rsid w:val="00210771"/>
    <w:rsid w:val="00217026"/>
    <w:rsid w:val="0022771D"/>
    <w:rsid w:val="00247D66"/>
    <w:rsid w:val="0025421C"/>
    <w:rsid w:val="002D71A8"/>
    <w:rsid w:val="002F021A"/>
    <w:rsid w:val="00306286"/>
    <w:rsid w:val="003165B0"/>
    <w:rsid w:val="00343560"/>
    <w:rsid w:val="00346351"/>
    <w:rsid w:val="003677A1"/>
    <w:rsid w:val="003709C3"/>
    <w:rsid w:val="00374E6D"/>
    <w:rsid w:val="003A29CC"/>
    <w:rsid w:val="003B20BB"/>
    <w:rsid w:val="003C4EB7"/>
    <w:rsid w:val="003F3F38"/>
    <w:rsid w:val="004128AE"/>
    <w:rsid w:val="00473846"/>
    <w:rsid w:val="00476014"/>
    <w:rsid w:val="004917D0"/>
    <w:rsid w:val="0054232E"/>
    <w:rsid w:val="0055536B"/>
    <w:rsid w:val="00567A0B"/>
    <w:rsid w:val="005B4BC9"/>
    <w:rsid w:val="005D1675"/>
    <w:rsid w:val="00627AF4"/>
    <w:rsid w:val="006358D6"/>
    <w:rsid w:val="00647CCA"/>
    <w:rsid w:val="00672DC5"/>
    <w:rsid w:val="006A6AF2"/>
    <w:rsid w:val="00701756"/>
    <w:rsid w:val="007165E7"/>
    <w:rsid w:val="0071690E"/>
    <w:rsid w:val="0073182A"/>
    <w:rsid w:val="00736EF6"/>
    <w:rsid w:val="007373B4"/>
    <w:rsid w:val="00754563"/>
    <w:rsid w:val="007918F6"/>
    <w:rsid w:val="007C6C4D"/>
    <w:rsid w:val="007C7C3A"/>
    <w:rsid w:val="007D6E61"/>
    <w:rsid w:val="007E2DAC"/>
    <w:rsid w:val="007F2401"/>
    <w:rsid w:val="007F27E3"/>
    <w:rsid w:val="007F6090"/>
    <w:rsid w:val="0080270B"/>
    <w:rsid w:val="00832D78"/>
    <w:rsid w:val="00872E08"/>
    <w:rsid w:val="008734DD"/>
    <w:rsid w:val="00890156"/>
    <w:rsid w:val="008C271C"/>
    <w:rsid w:val="008F3614"/>
    <w:rsid w:val="00904D51"/>
    <w:rsid w:val="0091728B"/>
    <w:rsid w:val="00937E01"/>
    <w:rsid w:val="00952E16"/>
    <w:rsid w:val="00971908"/>
    <w:rsid w:val="00982DB5"/>
    <w:rsid w:val="0098395B"/>
    <w:rsid w:val="0099780E"/>
    <w:rsid w:val="009A0D44"/>
    <w:rsid w:val="009A19D6"/>
    <w:rsid w:val="009A71C1"/>
    <w:rsid w:val="009D544A"/>
    <w:rsid w:val="009E511F"/>
    <w:rsid w:val="009F239A"/>
    <w:rsid w:val="00A522B4"/>
    <w:rsid w:val="00AF08D8"/>
    <w:rsid w:val="00AF5A1B"/>
    <w:rsid w:val="00B03CE5"/>
    <w:rsid w:val="00B07E9D"/>
    <w:rsid w:val="00B13FD2"/>
    <w:rsid w:val="00B45D2E"/>
    <w:rsid w:val="00B85CEC"/>
    <w:rsid w:val="00BB59ED"/>
    <w:rsid w:val="00BF1F31"/>
    <w:rsid w:val="00C24CD2"/>
    <w:rsid w:val="00C33635"/>
    <w:rsid w:val="00C40DB4"/>
    <w:rsid w:val="00C70321"/>
    <w:rsid w:val="00C87CB4"/>
    <w:rsid w:val="00C918B4"/>
    <w:rsid w:val="00CC0778"/>
    <w:rsid w:val="00CC418B"/>
    <w:rsid w:val="00D25EA4"/>
    <w:rsid w:val="00D44004"/>
    <w:rsid w:val="00D46E56"/>
    <w:rsid w:val="00D65253"/>
    <w:rsid w:val="00D7492B"/>
    <w:rsid w:val="00DA1BAC"/>
    <w:rsid w:val="00DA3E33"/>
    <w:rsid w:val="00DA51F9"/>
    <w:rsid w:val="00DC55E3"/>
    <w:rsid w:val="00DC5881"/>
    <w:rsid w:val="00DF690D"/>
    <w:rsid w:val="00E04FD5"/>
    <w:rsid w:val="00E117FC"/>
    <w:rsid w:val="00E36474"/>
    <w:rsid w:val="00E9207F"/>
    <w:rsid w:val="00EA3799"/>
    <w:rsid w:val="00EA589F"/>
    <w:rsid w:val="00EA7D73"/>
    <w:rsid w:val="00EB574F"/>
    <w:rsid w:val="00EC789B"/>
    <w:rsid w:val="00ED21F5"/>
    <w:rsid w:val="00F040B5"/>
    <w:rsid w:val="00F11214"/>
    <w:rsid w:val="00F141E1"/>
    <w:rsid w:val="00F14485"/>
    <w:rsid w:val="00F32BC5"/>
    <w:rsid w:val="00F43025"/>
    <w:rsid w:val="00F603C4"/>
    <w:rsid w:val="00F85045"/>
    <w:rsid w:val="00FA19C0"/>
    <w:rsid w:val="00FC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CB48A"/>
  <w15:chartTrackingRefBased/>
  <w15:docId w15:val="{C49EE611-6513-4AD7-88F4-32879A226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4128AE"/>
    <w:pPr>
      <w:spacing w:after="0" w:line="240" w:lineRule="auto"/>
      <w:jc w:val="both"/>
    </w:pPr>
    <w:rPr>
      <w:rFonts w:ascii="Arial" w:hAnsi="Arial"/>
      <w:sz w:val="20"/>
      <w:lang w:val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2E0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kapitzlist">
    <w:name w:val="List Paragraph"/>
    <w:aliases w:val="normalny tekst,Akapit z listą2,ISCG Numerowanie,Akapit z listą1,Obiekt,List Paragraph1,BulletC,Wyliczanie,Akapit z listą3,Akapit z listą31,Numerowanie,Podsis rysunku,maz_wyliczenie,opis dzialania,K-P_odwolanie,A_wyliczenie,Akapit z listą "/>
    <w:basedOn w:val="Normalny"/>
    <w:link w:val="AkapitzlistZnak"/>
    <w:uiPriority w:val="34"/>
    <w:qFormat/>
    <w:rsid w:val="00035EC5"/>
    <w:pPr>
      <w:spacing w:after="160" w:line="259" w:lineRule="auto"/>
      <w:ind w:left="720"/>
      <w:contextualSpacing/>
      <w:jc w:val="left"/>
    </w:pPr>
    <w:rPr>
      <w:rFonts w:asciiTheme="minorHAnsi" w:hAnsiTheme="minorHAnsi"/>
      <w:sz w:val="22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035EC5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035EC5"/>
    <w:rPr>
      <w:rFonts w:ascii="Arial" w:hAnsi="Arial"/>
      <w:sz w:val="20"/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035EC5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035EC5"/>
    <w:rPr>
      <w:rFonts w:ascii="Arial" w:hAnsi="Arial"/>
      <w:sz w:val="20"/>
      <w:lang w:val="en-GB"/>
    </w:rPr>
  </w:style>
  <w:style w:type="paragraph" w:styleId="text-justify" w:customStyle="1">
    <w:name w:val="text-justify"/>
    <w:basedOn w:val="Normalny"/>
    <w:rsid w:val="000A33D6"/>
    <w:pPr>
      <w:spacing w:before="100" w:beforeAutospacing="1" w:after="100" w:afterAutospacing="1"/>
      <w:jc w:val="left"/>
    </w:pPr>
    <w:rPr>
      <w:rFonts w:ascii="Times New Roman" w:hAnsi="Times New Roman" w:eastAsia="Times New Roman" w:cs="Times New Roman"/>
      <w:sz w:val="24"/>
      <w:szCs w:val="24"/>
      <w:lang w:val="pl-PL" w:eastAsia="pl-PL"/>
    </w:rPr>
  </w:style>
  <w:style w:type="paragraph" w:styleId="Poprawka">
    <w:name w:val="Revision"/>
    <w:hidden/>
    <w:uiPriority w:val="99"/>
    <w:semiHidden/>
    <w:rsid w:val="0007605A"/>
    <w:pPr>
      <w:spacing w:after="0" w:line="240" w:lineRule="auto"/>
    </w:pPr>
    <w:rPr>
      <w:rFonts w:ascii="Arial" w:hAnsi="Arial"/>
      <w:sz w:val="20"/>
      <w:lang w:val="en-GB"/>
    </w:rPr>
  </w:style>
  <w:style w:type="character" w:styleId="AkapitzlistZnak" w:customStyle="1">
    <w:name w:val="Akapit z listą Znak"/>
    <w:aliases w:val="normalny tekst Znak,Akapit z listą2 Znak,ISCG Numerowanie Znak,Akapit z listą1 Znak,Obiekt Znak,List Paragraph1 Znak,BulletC Znak,Wyliczanie Znak,Akapit z listą3 Znak,Akapit z listą31 Znak,Numerowanie Znak,Podsis rysunku Znak"/>
    <w:link w:val="Akapitzlist"/>
    <w:uiPriority w:val="34"/>
    <w:qFormat/>
    <w:locked/>
    <w:rsid w:val="00DC5881"/>
  </w:style>
  <w:style w:type="character" w:styleId="Odwoaniedokomentarza">
    <w:name w:val="annotation reference"/>
    <w:basedOn w:val="Domylnaczcionkaakapitu"/>
    <w:uiPriority w:val="99"/>
    <w:semiHidden/>
    <w:unhideWhenUsed/>
    <w:rsid w:val="00DC5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5881"/>
    <w:rPr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DC5881"/>
    <w:rPr>
      <w:rFonts w:ascii="Arial" w:hAnsi="Arial"/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5881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DC5881"/>
    <w:rPr>
      <w:rFonts w:ascii="Arial" w:hAnsi="Arial"/>
      <w:b/>
      <w:bCs/>
      <w:sz w:val="20"/>
      <w:szCs w:val="20"/>
      <w:lang w:val="en-GB"/>
    </w:rPr>
  </w:style>
  <w:style w:type="character" w:styleId="xcontentpasted0" w:customStyle="1">
    <w:name w:val="x_contentpasted0"/>
    <w:basedOn w:val="Domylnaczcionkaakapitu"/>
    <w:rsid w:val="000D6059"/>
  </w:style>
  <w:style w:type="paragraph" w:styleId="pf0" w:customStyle="1">
    <w:name w:val="pf0"/>
    <w:basedOn w:val="Normalny"/>
    <w:rsid w:val="00F85045"/>
    <w:pPr>
      <w:spacing w:before="100" w:beforeAutospacing="1" w:after="100" w:afterAutospacing="1"/>
      <w:jc w:val="left"/>
    </w:pPr>
    <w:rPr>
      <w:rFonts w:ascii="Times New Roman" w:hAnsi="Times New Roman" w:eastAsia="Times New Roman" w:cs="Times New Roman"/>
      <w:sz w:val="24"/>
      <w:szCs w:val="24"/>
      <w:lang w:val="pl-PL" w:eastAsia="pl-PL"/>
    </w:rPr>
  </w:style>
  <w:style w:type="character" w:styleId="cf01" w:customStyle="1">
    <w:name w:val="cf01"/>
    <w:basedOn w:val="Domylnaczcionkaakapitu"/>
    <w:rsid w:val="00F85045"/>
    <w:rPr>
      <w:rFonts w:hint="default" w:ascii="Segoe UI" w:hAnsi="Segoe UI" w:cs="Segoe UI"/>
      <w:sz w:val="18"/>
      <w:szCs w:val="18"/>
    </w:rPr>
  </w:style>
  <w:style w:type="character" w:styleId="cf11" w:customStyle="1">
    <w:name w:val="cf11"/>
    <w:basedOn w:val="Domylnaczcionkaakapitu"/>
    <w:rsid w:val="00F85045"/>
    <w:rPr>
      <w:rFonts w:hint="default" w:ascii="Segoe UI" w:hAnsi="Segoe UI" w:cs="Segoe UI"/>
      <w:sz w:val="18"/>
      <w:szCs w:val="18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014"/>
    <w:rPr>
      <w:rFonts w:ascii="Times New Roman" w:hAnsi="Times New Roman" w:cs="Times New Roman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476014"/>
    <w:rPr>
      <w:rFonts w:ascii="Times New Roman" w:hAnsi="Times New Roman" w:cs="Times New Roman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4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470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76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71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21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549140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87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0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8371A-2E2A-5E43-B336-7B02EF0E2E0D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1899-12-31T23:00:00.0000000Z</dcterms:created>
  <dcterms:modified xsi:type="dcterms:W3CDTF">1899-12-31T23:00:00.0000000Z</dcterms:modified>
</coreProperties>
</file>